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Default ContentType="image/png" Extension="pn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131"/>
        <w:framePr w:w="0" w:vSpace="180" w:hSpace="180" w:wrap="around" w:hAnchor="text" w:xAlign="left" w:y="1" w:anchorLock="1"/>
        <w:rPr>
          <w:rFonts w:hAnsi="黑体"/>
        </w:rPr>
      </w:pPr>
      <w:r>
        <w:rPr>
          <w:rFonts w:hAnsi="黑体"/>
        </w:rPr>
        <w:t>ICS 03.220.40</w:t>
      </w:r>
    </w:p>
    <w:p>
      <w:pPr>
        <w:pStyle w:val="131"/>
        <w:framePr w:w="0" w:vSpace="180" w:hSpace="180" w:wrap="around" w:hAnchor="text" w:xAlign="left" w:y="1" w:anchorLock="1"/>
        <w:rPr>
          <w:rFonts w:hAnsi="黑体"/>
        </w:rPr>
      </w:pPr>
      <w:r>
        <w:rPr>
          <w:rFonts w:hAnsi="黑体"/>
        </w:rPr>
        <w:t>R 22</w:t>
      </w:r>
    </w:p>
    <w:p>
      <w:pPr>
        <w:pStyle w:val="98"/>
        <w:framePr w:w="2546" w:h="1389" w:vSpace="181" w:hSpace="181" w:wrap="around" w:hAnchor="text" w:x="6522" w:y="398" w:hRule="exact" w:anchorLock="1"/>
      </w:pPr>
      <w:r>
        <w:rPr>
          <w:b/>
          <w:w w:val="170"/>
          <w:sz w:val="96"/>
          <w:szCs w:val="96"/>
        </w:rPr>
        <w:pict>
          <v:shape id="图片框 1025" o:spid="_x0000_s1026" type="#_x0000_t75" style="height:56.65pt;width:113.25pt;rotation:0f;" o:ole="f" fillcolor="#FFFFFF" filled="f" o:preferrelative="t" stroked="f" coordorigin="0,0" coordsize="21600,21600">
            <v:fill on="f" color2="#FFFFFF" focus="0%"/>
            <v:imagedata gain="65536f" blacklevel="0f" gamma="0" o:title="" r:id="rId15"/>
            <o:lock v:ext="edit" position="f" selection="f" grouping="f" rotation="f" cropping="f" text="f" aspectratio="t"/>
            <w10:wrap type="none"/>
            <w10:anchorlock/>
          </v:shape>
        </w:pict>
      </w:r>
    </w:p>
    <w:p>
      <w:pPr>
        <w:pStyle w:val="96"/>
        <w:framePr w:w="9639" w:h="624" w:vSpace="181" w:hSpace="181" w:wrap="around" w:hAnchor="text" w:x="1419" w:y="2286" w:hRule="exact" w:anchorLock="1"/>
      </w:pPr>
      <w:r>
        <w:rPr>
          <w:rFonts w:hint="eastAsia"/>
        </w:rPr>
        <w:t>中华人民共和国国家标准</w:t>
      </w:r>
    </w:p>
    <w:p>
      <w:pPr>
        <w:pStyle w:val="90"/>
        <w:framePr w:w="9140" w:h="1242" w:hSpace="284" w:wrap="around" w:hAnchor="text" w:x="1645" w:y="2910" w:hRule="exact" w:anchorLock="1"/>
        <w:rPr>
          <w:rFonts w:hAnsi="黑体"/>
        </w:rPr>
      </w:pPr>
      <w:r>
        <w:rPr>
          <w:rFonts w:hAnsi="黑体"/>
        </w:rPr>
        <w:t>GB</w:t>
      </w:r>
      <w:bookmarkStart w:id="0" w:name="StdNo1"/>
      <w:r>
        <w:rPr>
          <w:rFonts w:hint="eastAsia" w:hAnsi="黑体"/>
        </w:rPr>
        <w:t xml:space="preserve"> </w:t>
      </w:r>
      <w:r>
        <w:rPr>
          <w:rFonts w:hAnsi="黑体"/>
        </w:rPr>
        <w:t>XXX</w:t>
      </w:r>
      <w:r>
        <w:rPr>
          <w:rFonts w:hint="eastAsia" w:hAnsi="黑体"/>
        </w:rPr>
        <w:t>XX-XXXX</w:t>
      </w:r>
      <w:bookmarkEnd w:id="0"/>
    </w:p>
    <w:tbl>
      <w:tblPr>
        <w:tblW w:w="935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
      <w:tblGrid>
        <w:gridCol w:w="2339"/>
        <w:gridCol w:w="2339"/>
        <w:gridCol w:w="2339"/>
        <w:gridCol w:w="2339"/>
      </w:tblGrid>
      <w:tr>
        <w:tc>
          <w:tcPr>
            <w:tcW w:w="2339" w:type="dxa"/>
            <w:tcBorders>
              <w:top w:val="nil"/>
              <w:left w:val="nil"/>
              <w:bottom w:val="nil"/>
              <w:right w:val="nil"/>
            </w:tcBorders>
            <w:vAlign w:val="top"/>
          </w:tcPr>
          <w:p>
            <w:pPr>
              <w:pStyle w:val="78"/>
              <w:framePr w:w="9140" w:h="1242" w:hSpace="284" w:wrap="around" w:hAnchor="text" w:x="1645" w:y="2910" w:hRule="exact" w:anchorLock="1"/>
              <w:wordWrap w:val="0"/>
              <w:ind w:right="840"/>
              <w:jc w:val="both"/>
              <w:rPr>
                <w:rFonts w:hAnsi="宋体"/>
              </w:rPr>
            </w:pPr>
          </w:p>
        </w:tc>
        <w:tc>
          <w:tcPr>
            <w:tcW w:w="2339" w:type="dxa"/>
            <w:tcBorders>
              <w:top w:val="nil"/>
              <w:left w:val="nil"/>
              <w:bottom w:val="nil"/>
              <w:right w:val="nil"/>
            </w:tcBorders>
            <w:vAlign w:val="top"/>
          </w:tcPr>
          <w:p>
            <w:pPr>
              <w:pStyle w:val="78"/>
              <w:framePr w:w="9140" w:h="1242" w:hSpace="284" w:wrap="around" w:hAnchor="text" w:x="1645" w:y="2910" w:hRule="exact" w:anchorLock="1"/>
              <w:wordWrap w:val="0"/>
              <w:ind w:right="840"/>
              <w:jc w:val="both"/>
              <w:rPr>
                <w:rFonts w:hAnsi="宋体"/>
              </w:rPr>
            </w:pPr>
          </w:p>
        </w:tc>
        <w:tc>
          <w:tcPr>
            <w:tcW w:w="2339" w:type="dxa"/>
            <w:tcBorders>
              <w:top w:val="nil"/>
              <w:left w:val="nil"/>
              <w:bottom w:val="nil"/>
              <w:right w:val="nil"/>
            </w:tcBorders>
            <w:vAlign w:val="top"/>
          </w:tcPr>
          <w:p>
            <w:pPr>
              <w:pStyle w:val="78"/>
              <w:framePr w:w="9140" w:h="1242" w:hSpace="284" w:wrap="around" w:hAnchor="text" w:x="1645" w:y="2910" w:hRule="exact" w:anchorLock="1"/>
              <w:wordWrap w:val="0"/>
              <w:ind w:right="840"/>
              <w:jc w:val="both"/>
              <w:rPr>
                <w:rFonts w:hAnsi="宋体"/>
              </w:rPr>
            </w:pPr>
          </w:p>
        </w:tc>
        <w:tc>
          <w:tcPr>
            <w:tcW w:w="2339" w:type="dxa"/>
            <w:tcBorders>
              <w:top w:val="nil"/>
              <w:left w:val="nil"/>
              <w:bottom w:val="nil"/>
              <w:right w:val="nil"/>
            </w:tcBorders>
            <w:vAlign w:val="top"/>
          </w:tcPr>
          <w:p>
            <w:pPr>
              <w:pStyle w:val="78"/>
              <w:framePr w:w="9140" w:h="1242" w:hSpace="284" w:wrap="around" w:hAnchor="text" w:x="1645" w:y="2910" w:hRule="exact" w:anchorLock="1"/>
              <w:wordWrap w:val="0"/>
              <w:ind w:right="840"/>
              <w:jc w:val="both"/>
              <w:rPr>
                <w:rFonts w:hAnsi="宋体"/>
              </w:rPr>
            </w:pPr>
          </w:p>
        </w:tc>
      </w:tr>
    </w:tbl>
    <w:p>
      <w:pPr>
        <w:pStyle w:val="90"/>
        <w:framePr w:w="9140" w:h="1242" w:hSpace="284" w:wrap="around" w:hAnchor="text" w:x="1645" w:y="2910" w:hRule="exact" w:anchorLock="1"/>
      </w:pPr>
    </w:p>
    <w:p>
      <w:pPr>
        <w:pStyle w:val="90"/>
        <w:framePr w:w="9140" w:h="1242" w:hSpace="284" w:wrap="around" w:hAnchor="text" w:x="1645" w:y="2910" w:hRule="exact" w:anchorLock="1"/>
      </w:pPr>
    </w:p>
    <w:p>
      <w:pPr>
        <w:pStyle w:val="54"/>
        <w:framePr w:w="9639" w:h="6917" w:wrap="around" w:hAnchor="text" w:xAlign="center" w:y="6408" w:hRule="exact" w:anchorLock="1"/>
      </w:pPr>
      <w:bookmarkStart w:id="1" w:name="StdName"/>
      <w:r>
        <w:rPr>
          <w:rFonts w:hint="eastAsia"/>
        </w:rPr>
        <w:t>油船清洗舱安全作业要求</w:t>
      </w:r>
      <w:bookmarkEnd w:id="1"/>
    </w:p>
    <w:p>
      <w:pPr>
        <w:pStyle w:val="53"/>
        <w:framePr w:w="0" w:h="6917" w:wrap="around" w:hAnchor="text" w:xAlign="left" w:yAlign="top" w:hRule="exact"/>
        <w:rPr>
          <w:rFonts w:ascii="黑体" w:hAnsi="黑体"/>
        </w:rPr>
      </w:pPr>
      <w:bookmarkStart w:id="2" w:name="StdEnglishName"/>
      <w:r>
        <w:rPr>
          <w:rFonts w:ascii="黑体" w:hAnsi="黑体"/>
        </w:rPr>
        <w:t>Safety requirements for tank cleaning operation of oil tankers</w:t>
      </w:r>
      <w:bookmarkEnd w:id="2"/>
    </w:p>
    <w:tbl>
      <w:tblPr>
        <w:tblW w:w="985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
      <w:tblGrid>
        <w:gridCol w:w="9855"/>
      </w:tblGrid>
      <w:tr>
        <w:tc>
          <w:tcPr>
            <w:tcW w:w="9855" w:type="dxa"/>
            <w:tcBorders>
              <w:top w:val="nil"/>
              <w:left w:val="nil"/>
              <w:bottom w:val="nil"/>
              <w:right w:val="nil"/>
            </w:tcBorders>
            <w:vAlign w:val="top"/>
          </w:tcPr>
          <w:p>
            <w:pPr>
              <w:pStyle w:val="77"/>
              <w:framePr w:w="0" w:h="6917" w:wrap="around" w:hAnchor="text" w:xAlign="left" w:yAlign="top" w:hRule="exact"/>
            </w:pPr>
            <w:r>
              <w:rPr>
                <w:rFonts w:hint="eastAsia"/>
                <w:sz w:val="28"/>
              </w:rPr>
              <w:t>征求意见稿</w:t>
            </w:r>
          </w:p>
        </w:tc>
      </w:tr>
      <w:tr>
        <w:tc>
          <w:tcPr>
            <w:tcW w:w="9855" w:type="dxa"/>
            <w:tcBorders>
              <w:top w:val="nil"/>
              <w:left w:val="nil"/>
              <w:bottom w:val="nil"/>
              <w:right w:val="nil"/>
            </w:tcBorders>
            <w:vAlign w:val="top"/>
          </w:tcPr>
          <w:p>
            <w:pPr>
              <w:pStyle w:val="76"/>
              <w:framePr w:w="0" w:h="6917" w:wrap="around" w:hAnchor="text" w:xAlign="left" w:yAlign="top" w:hRule="exact"/>
            </w:pPr>
          </w:p>
        </w:tc>
      </w:tr>
    </w:tbl>
    <w:p>
      <w:pPr>
        <w:pStyle w:val="72"/>
        <w:framePr w:w="0" w:h="471" w:wrap="around" w:hAnchor="page" w:x="2296" w:yAlign="top" w:hRule="exact"/>
      </w:pPr>
      <w:r>
        <w:rPr>
          <w:rFonts w:hint="eastAsia" w:ascii="黑体"/>
        </w:rPr>
        <w:t>XXXX-XX-XX</w:t>
      </w:r>
      <w:r>
        <w:rPr>
          <w:rFonts w:hint="eastAsia"/>
        </w:rPr>
        <w:t>发布</w:t>
      </w:r>
      <w:r>
        <w:rPr>
          <w:rFonts w:eastAsia="黑体"/>
          <w:sz w:val="28"/>
        </w:rPr>
        <w:pict>
          <v:line id="直线 10" o:spid="_x0000_s1027" style="position:absolute;left:0;margin-left:-43.9pt;margin-top:728.4pt;height:0.05pt;width:481.9pt;mso-position-vertical-relative:page;rotation:0f;z-index:251658240;" o:ole="f" fillcolor="#FFFFFF" filled="f" o:preferrelative="t" stroked="t" coordsize="21600,21600">
            <v:fill on="f" color2="#FFFFFF" focus="0%"/>
            <v:stroke color="#000000" color2="#FFFFFF" opacity="100%" joinstyle="round"/>
            <v:imagedata gain="65536f" blacklevel="0f" gamma="0"/>
            <o:lock v:ext="edit" position="f" selection="f" grouping="f" rotation="f" cropping="f" text="f" aspectratio="f"/>
            <w10:anchorlock/>
          </v:line>
        </w:pict>
      </w:r>
    </w:p>
    <w:p>
      <w:pPr>
        <w:pStyle w:val="60"/>
        <w:framePr w:w="0" w:h="471" w:wrap="around" w:hAnchor="page" w:xAlign="left" w:yAlign="top" w:hRule="exact"/>
      </w:pPr>
      <w:r>
        <w:rPr>
          <w:rFonts w:hint="eastAsia" w:ascii="黑体"/>
        </w:rPr>
        <w:t>XXXX-XX-XX</w:t>
      </w:r>
      <w:r>
        <w:rPr>
          <w:rFonts w:hint="eastAsia"/>
        </w:rPr>
        <w:t>实施</w:t>
      </w:r>
    </w:p>
    <w:p>
      <w:pPr>
        <w:pStyle w:val="115"/>
        <w:framePr w:w="1064" w:h="516" w:wrap="around" w:hAnchor="text" w:xAlign="left" w:y="15055" w:hRule="exact"/>
        <w:jc w:val="both"/>
        <w:rPr>
          <w:rStyle w:val="134"/>
        </w:rPr>
      </w:pPr>
      <w:r>
        <w:rPr>
          <w:rStyle w:val="134"/>
          <w:rFonts w:hint="eastAsia"/>
        </w:rPr>
        <w:t>发布</w:t>
      </w:r>
    </w:p>
    <w:p>
      <w:pPr>
        <w:pStyle w:val="115"/>
        <w:framePr w:w="6391" w:h="811" w:wrap="around" w:hAnchor="text" w:xAlign="left" w:y="14901" w:hRule="exact"/>
        <w:jc w:val="distribute"/>
        <w:rPr>
          <w:rStyle w:val="134"/>
          <w:rFonts w:hAnsi="黑体"/>
          <w:spacing w:val="-40"/>
          <w:w w:val="95"/>
          <w:position w:val="0"/>
        </w:rPr>
      </w:pPr>
      <w:r>
        <w:rPr>
          <w:rStyle w:val="134"/>
          <w:rFonts w:hint="eastAsia" w:hAnsi="黑体"/>
          <w:spacing w:val="-40"/>
          <w:w w:val="95"/>
          <w:position w:val="0"/>
        </w:rPr>
        <w:t>国家市场监督管理总局</w:t>
      </w:r>
    </w:p>
    <w:p>
      <w:pPr>
        <w:pStyle w:val="115"/>
        <w:framePr w:w="6391" w:h="811" w:wrap="around" w:hAnchor="text" w:xAlign="left" w:y="14901" w:hRule="exact"/>
        <w:jc w:val="distribute"/>
        <w:rPr>
          <w:rStyle w:val="134"/>
          <w:rFonts w:hAnsi="黑体"/>
          <w:spacing w:val="-60"/>
          <w:w w:val="95"/>
          <w:position w:val="0"/>
        </w:rPr>
      </w:pPr>
      <w:r>
        <w:rPr>
          <w:rStyle w:val="134"/>
          <w:rFonts w:hint="eastAsia" w:hAnsi="黑体"/>
          <w:spacing w:val="-60"/>
          <w:w w:val="95"/>
          <w:position w:val="0"/>
        </w:rPr>
        <w:t>中国国家标准化管理委员会</w:t>
      </w:r>
    </w:p>
    <w:p>
      <w:pPr>
        <w:pStyle w:val="24"/>
        <w:sectPr>
          <w:headerReference r:id="rId4" w:type="even"/>
          <w:footerReference r:id="rId5" w:type="even"/>
          <w:pgSz w:w="11906" w:h="16838"/>
          <w:pgMar w:top="567" w:right="1134" w:bottom="1134" w:left="1417" w:header="0" w:footer="0" w:gutter="0"/>
          <w:pgNumType w:start="1"/>
          <w:cols w:space="720" w:num="1"/>
          <w:docGrid w:type="lines" w:linePitch="312"/>
        </w:sectPr>
      </w:pPr>
      <w:r>
        <w:rPr>
          <w:rFonts w:ascii="宋体"/>
          <w:sz w:val="21"/>
        </w:rPr>
        <w:pict>
          <v:line id="直线 11" o:spid="_x0000_s1028" style="position:absolute;left:0;margin-left:0pt;margin-top:168.8pt;height:0.05pt;width:481.9pt;rotation:0f;z-index:251659264;" o:ole="f" fillcolor="#FFFFFF" filled="f" o:preferrelative="t" stroked="t" coordsize="21600,21600">
            <v:fill on="f" color2="#FFFFFF" focus="0%"/>
            <v:stroke color="#000000" color2="#FFFFFF" opacity="100%" joinstyle="round"/>
            <v:imagedata gain="65536f" blacklevel="0f" gamma="0"/>
            <o:lock v:ext="edit" position="f" selection="f" grouping="f" rotation="f" cropping="f" text="f" aspectratio="f"/>
          </v:line>
        </w:pict>
      </w:r>
    </w:p>
    <w:p>
      <w:pPr>
        <w:pStyle w:val="99"/>
      </w:pPr>
      <w:bookmarkStart w:id="3" w:name="_Toc513731954"/>
      <w:bookmarkStart w:id="4" w:name="_Toc513731838"/>
      <w:bookmarkStart w:id="5" w:name="_Toc513732002"/>
      <w:r>
        <w:rPr>
          <w:rFonts w:hint="eastAsia"/>
        </w:rPr>
        <w:t>目</w:t>
      </w:r>
      <w:bookmarkStart w:id="6" w:name="BKML"/>
      <w:r>
        <w:rPr>
          <w:rFonts w:hAnsi="黑体"/>
        </w:rPr>
        <w:t>  </w:t>
      </w:r>
      <w:r>
        <w:rPr>
          <w:rFonts w:hint="eastAsia"/>
        </w:rPr>
        <w:t>次</w:t>
      </w:r>
      <w:bookmarkEnd w:id="6"/>
    </w:p>
    <w:p>
      <w:pPr>
        <w:pStyle w:val="20"/>
        <w:spacing w:before="78" w:after="78"/>
        <w:rPr>
          <w:rFonts w:ascii="Calibri" w:hAnsi="Calibri"/>
          <w:szCs w:val="22"/>
        </w:rPr>
      </w:pPr>
      <w:r>
        <w:fldChar w:fldCharType="begin" w:fldLock="1"/>
      </w:r>
      <w:r>
        <w:instrText xml:space="preserve"> </w:instrText>
      </w:r>
      <w:r>
        <w:rPr>
          <w:rFonts w:hint="eastAsia"/>
        </w:rPr>
        <w:instrText xml:space="preserve">TOC \h \z \t"前言、引言标题,1,参考文献、索引标题,1,章标题,1,参考文献,1,附录标识,1" \* MERGEFORMAT</w:instrText>
      </w:r>
      <w:r>
        <w:instrText xml:space="preserve"> </w:instrText>
      </w:r>
      <w:r>
        <w:fldChar w:fldCharType="separate"/>
      </w:r>
      <w:r>
        <w:fldChar w:fldCharType="begin"/>
      </w:r>
      <w:r>
        <w:instrText xml:space="preserve">HYPERLINK  \l "_Toc513734078" </w:instrText>
      </w:r>
      <w:r>
        <w:fldChar w:fldCharType="separate"/>
      </w:r>
      <w:r>
        <w:rPr>
          <w:rStyle w:val="36"/>
          <w:rFonts w:hint="eastAsia"/>
        </w:rPr>
        <w:t>前言</w:t>
      </w:r>
      <w:r>
        <w:tab/>
      </w:r>
      <w:r>
        <w:fldChar w:fldCharType="begin" w:fldLock="1"/>
      </w:r>
      <w:r>
        <w:instrText xml:space="preserve"> PAGEREF _Toc513734078 \h </w:instrText>
      </w:r>
      <w:r>
        <w:fldChar w:fldCharType="separate"/>
      </w:r>
      <w:r>
        <w:t>I</w:t>
      </w:r>
      <w:r>
        <w:fldChar w:fldCharType="end"/>
      </w:r>
      <w:r>
        <w:fldChar w:fldCharType="end"/>
      </w:r>
    </w:p>
    <w:p>
      <w:pPr>
        <w:pStyle w:val="20"/>
        <w:spacing w:before="78" w:after="78"/>
        <w:rPr>
          <w:rFonts w:ascii="Calibri" w:hAnsi="Calibri"/>
          <w:szCs w:val="22"/>
        </w:rPr>
      </w:pPr>
      <w:r>
        <w:fldChar w:fldCharType="begin"/>
      </w:r>
      <w:r>
        <w:instrText xml:space="preserve">HYPERLINK  \l "_Toc513734079" </w:instrText>
      </w:r>
      <w:r>
        <w:fldChar w:fldCharType="separate"/>
      </w:r>
      <w:r>
        <w:rPr>
          <w:rStyle w:val="36"/>
        </w:rPr>
        <w:t>1</w:t>
      </w:r>
      <w:r>
        <w:rPr>
          <w:rStyle w:val="36"/>
          <w:rFonts w:hint="eastAsia"/>
        </w:rPr>
        <w:t>　范围</w:t>
      </w:r>
      <w:r>
        <w:tab/>
      </w:r>
      <w:r>
        <w:fldChar w:fldCharType="begin" w:fldLock="1"/>
      </w:r>
      <w:r>
        <w:instrText xml:space="preserve"> PAGEREF _Toc513734079 \h </w:instrText>
      </w:r>
      <w:r>
        <w:fldChar w:fldCharType="separate"/>
      </w:r>
      <w:r>
        <w:t>1</w:t>
      </w:r>
      <w:r>
        <w:fldChar w:fldCharType="end"/>
      </w:r>
      <w:r>
        <w:fldChar w:fldCharType="end"/>
      </w:r>
    </w:p>
    <w:p>
      <w:pPr>
        <w:pStyle w:val="20"/>
        <w:spacing w:before="78" w:after="78"/>
        <w:rPr>
          <w:rFonts w:ascii="Calibri" w:hAnsi="Calibri"/>
          <w:szCs w:val="22"/>
        </w:rPr>
      </w:pPr>
      <w:r>
        <w:fldChar w:fldCharType="begin"/>
      </w:r>
      <w:r>
        <w:instrText xml:space="preserve">HYPERLINK  \l "_Toc513734080" </w:instrText>
      </w:r>
      <w:r>
        <w:fldChar w:fldCharType="separate"/>
      </w:r>
      <w:r>
        <w:rPr>
          <w:rStyle w:val="36"/>
        </w:rPr>
        <w:t>2</w:t>
      </w:r>
      <w:r>
        <w:rPr>
          <w:rStyle w:val="36"/>
          <w:rFonts w:hint="eastAsia"/>
        </w:rPr>
        <w:t>　规范性引用文件</w:t>
      </w:r>
      <w:r>
        <w:tab/>
      </w:r>
      <w:r>
        <w:fldChar w:fldCharType="begin" w:fldLock="1"/>
      </w:r>
      <w:r>
        <w:instrText xml:space="preserve"> PAGEREF _Toc513734080 \h </w:instrText>
      </w:r>
      <w:r>
        <w:fldChar w:fldCharType="separate"/>
      </w:r>
      <w:r>
        <w:t>1</w:t>
      </w:r>
      <w:r>
        <w:fldChar w:fldCharType="end"/>
      </w:r>
      <w:r>
        <w:fldChar w:fldCharType="end"/>
      </w:r>
    </w:p>
    <w:p>
      <w:pPr>
        <w:pStyle w:val="20"/>
        <w:spacing w:before="78" w:after="78"/>
        <w:rPr>
          <w:rFonts w:ascii="Calibri" w:hAnsi="Calibri"/>
          <w:szCs w:val="22"/>
        </w:rPr>
      </w:pPr>
      <w:r>
        <w:fldChar w:fldCharType="begin"/>
      </w:r>
      <w:r>
        <w:instrText xml:space="preserve">HYPERLINK  \l "_Toc513734081" </w:instrText>
      </w:r>
      <w:r>
        <w:fldChar w:fldCharType="separate"/>
      </w:r>
      <w:r>
        <w:rPr>
          <w:rStyle w:val="36"/>
        </w:rPr>
        <w:t>3</w:t>
      </w:r>
      <w:r>
        <w:rPr>
          <w:rStyle w:val="36"/>
          <w:rFonts w:hint="eastAsia"/>
        </w:rPr>
        <w:t>　术语和定义</w:t>
      </w:r>
      <w:r>
        <w:tab/>
      </w:r>
      <w:r>
        <w:fldChar w:fldCharType="begin" w:fldLock="1"/>
      </w:r>
      <w:r>
        <w:instrText xml:space="preserve"> PAGEREF _Toc513734081 \h </w:instrText>
      </w:r>
      <w:r>
        <w:fldChar w:fldCharType="separate"/>
      </w:r>
      <w:r>
        <w:t>1</w:t>
      </w:r>
      <w:r>
        <w:fldChar w:fldCharType="end"/>
      </w:r>
      <w:r>
        <w:fldChar w:fldCharType="end"/>
      </w:r>
    </w:p>
    <w:p>
      <w:pPr>
        <w:pStyle w:val="20"/>
        <w:spacing w:before="78" w:after="78"/>
        <w:rPr>
          <w:rFonts w:ascii="Calibri" w:hAnsi="Calibri"/>
          <w:szCs w:val="22"/>
        </w:rPr>
      </w:pPr>
      <w:r>
        <w:fldChar w:fldCharType="begin"/>
      </w:r>
      <w:r>
        <w:instrText xml:space="preserve">HYPERLINK  \l "_Toc513734082" </w:instrText>
      </w:r>
      <w:r>
        <w:fldChar w:fldCharType="separate"/>
      </w:r>
      <w:r>
        <w:rPr>
          <w:rStyle w:val="36"/>
        </w:rPr>
        <w:t>4</w:t>
      </w:r>
      <w:r>
        <w:rPr>
          <w:rStyle w:val="36"/>
          <w:rFonts w:hint="eastAsia" w:hAnsi="黑体"/>
        </w:rPr>
        <w:t>　一般要求</w:t>
      </w:r>
      <w:r>
        <w:tab/>
      </w:r>
      <w:r>
        <w:fldChar w:fldCharType="begin" w:fldLock="1"/>
      </w:r>
      <w:r>
        <w:instrText xml:space="preserve"> PAGEREF _Toc513734082 \h </w:instrText>
      </w:r>
      <w:r>
        <w:fldChar w:fldCharType="separate"/>
      </w:r>
      <w:r>
        <w:t>3</w:t>
      </w:r>
      <w:r>
        <w:fldChar w:fldCharType="end"/>
      </w:r>
      <w:r>
        <w:fldChar w:fldCharType="end"/>
      </w:r>
    </w:p>
    <w:p>
      <w:pPr>
        <w:pStyle w:val="20"/>
        <w:spacing w:before="78" w:after="78"/>
        <w:rPr>
          <w:rFonts w:ascii="Calibri" w:hAnsi="Calibri"/>
          <w:szCs w:val="22"/>
        </w:rPr>
      </w:pPr>
      <w:r>
        <w:fldChar w:fldCharType="begin"/>
      </w:r>
      <w:r>
        <w:instrText xml:space="preserve">HYPERLINK  \l "_Toc513734083" </w:instrText>
      </w:r>
      <w:r>
        <w:fldChar w:fldCharType="separate"/>
      </w:r>
      <w:r>
        <w:rPr>
          <w:rStyle w:val="36"/>
        </w:rPr>
        <w:t>5</w:t>
      </w:r>
      <w:r>
        <w:rPr>
          <w:rStyle w:val="36"/>
          <w:rFonts w:hint="eastAsia" w:hAnsi="黑体"/>
        </w:rPr>
        <w:t>　清洗舱</w:t>
      </w:r>
      <w:r>
        <w:tab/>
      </w:r>
      <w:r>
        <w:fldChar w:fldCharType="begin" w:fldLock="1"/>
      </w:r>
      <w:r>
        <w:instrText xml:space="preserve"> PAGEREF _Toc513734083 \h </w:instrText>
      </w:r>
      <w:r>
        <w:fldChar w:fldCharType="separate"/>
      </w:r>
      <w:r>
        <w:t>7</w:t>
      </w:r>
      <w:r>
        <w:fldChar w:fldCharType="end"/>
      </w:r>
      <w:r>
        <w:fldChar w:fldCharType="end"/>
      </w:r>
    </w:p>
    <w:p>
      <w:pPr>
        <w:pStyle w:val="20"/>
        <w:spacing w:before="78" w:after="78"/>
        <w:rPr>
          <w:rFonts w:ascii="Calibri" w:hAnsi="Calibri"/>
          <w:szCs w:val="22"/>
        </w:rPr>
      </w:pPr>
      <w:r>
        <w:fldChar w:fldCharType="begin"/>
      </w:r>
      <w:r>
        <w:instrText xml:space="preserve">HYPERLINK  \l "_Toc513734084" </w:instrText>
      </w:r>
      <w:r>
        <w:fldChar w:fldCharType="separate"/>
      </w:r>
      <w:r>
        <w:rPr>
          <w:rStyle w:val="36"/>
        </w:rPr>
        <w:t>6</w:t>
      </w:r>
      <w:r>
        <w:rPr>
          <w:rStyle w:val="36"/>
          <w:rFonts w:hint="eastAsia" w:hAnsi="黑体"/>
        </w:rPr>
        <w:t>　原油洗舱</w:t>
      </w:r>
      <w:r>
        <w:tab/>
      </w:r>
      <w:r>
        <w:fldChar w:fldCharType="begin" w:fldLock="1"/>
      </w:r>
      <w:r>
        <w:instrText xml:space="preserve"> PAGEREF _Toc513734084 \h </w:instrText>
      </w:r>
      <w:r>
        <w:fldChar w:fldCharType="separate"/>
      </w:r>
      <w:r>
        <w:t>10</w:t>
      </w:r>
      <w:r>
        <w:fldChar w:fldCharType="end"/>
      </w:r>
      <w:r>
        <w:fldChar w:fldCharType="end"/>
      </w:r>
    </w:p>
    <w:p>
      <w:pPr>
        <w:pStyle w:val="20"/>
        <w:spacing w:before="78" w:after="78"/>
        <w:rPr>
          <w:rFonts w:ascii="Calibri" w:hAnsi="Calibri"/>
          <w:szCs w:val="22"/>
        </w:rPr>
      </w:pPr>
      <w:r>
        <w:fldChar w:fldCharType="begin"/>
      </w:r>
      <w:r>
        <w:instrText xml:space="preserve">HYPERLINK  \l "_Toc513734085" </w:instrText>
      </w:r>
      <w:r>
        <w:fldChar w:fldCharType="separate"/>
      </w:r>
      <w:r>
        <w:rPr>
          <w:rStyle w:val="36"/>
        </w:rPr>
        <w:t>7</w:t>
      </w:r>
      <w:r>
        <w:rPr>
          <w:rStyle w:val="36"/>
          <w:rFonts w:hint="eastAsia" w:hAnsi="黑体"/>
        </w:rPr>
        <w:t>　除气作业</w:t>
      </w:r>
      <w:r>
        <w:tab/>
      </w:r>
      <w:r>
        <w:fldChar w:fldCharType="begin" w:fldLock="1"/>
      </w:r>
      <w:r>
        <w:instrText xml:space="preserve"> PAGEREF _Toc513734085 \h </w:instrText>
      </w:r>
      <w:r>
        <w:fldChar w:fldCharType="separate"/>
      </w:r>
      <w:r>
        <w:t>11</w:t>
      </w:r>
      <w:r>
        <w:fldChar w:fldCharType="end"/>
      </w:r>
      <w:r>
        <w:fldChar w:fldCharType="end"/>
      </w:r>
    </w:p>
    <w:p>
      <w:pPr>
        <w:pStyle w:val="20"/>
        <w:spacing w:before="78" w:after="78"/>
        <w:rPr>
          <w:rFonts w:ascii="Calibri" w:hAnsi="Calibri"/>
          <w:szCs w:val="22"/>
        </w:rPr>
      </w:pPr>
      <w:r>
        <w:fldChar w:fldCharType="begin"/>
      </w:r>
      <w:r>
        <w:instrText xml:space="preserve">HYPERLINK  \l "_Toc513734086" </w:instrText>
      </w:r>
      <w:r>
        <w:fldChar w:fldCharType="separate"/>
      </w:r>
      <w:r>
        <w:rPr>
          <w:rStyle w:val="36"/>
        </w:rPr>
        <w:t>8</w:t>
      </w:r>
      <w:r>
        <w:rPr>
          <w:rStyle w:val="36"/>
          <w:rFonts w:hint="eastAsia" w:hAnsi="黑体"/>
        </w:rPr>
        <w:t>　应急反应</w:t>
      </w:r>
      <w:r>
        <w:tab/>
      </w:r>
      <w:r>
        <w:fldChar w:fldCharType="begin" w:fldLock="1"/>
      </w:r>
      <w:r>
        <w:instrText xml:space="preserve"> PAGEREF _Toc513734086 \h </w:instrText>
      </w:r>
      <w:r>
        <w:fldChar w:fldCharType="separate"/>
      </w:r>
      <w:r>
        <w:t>14</w:t>
      </w:r>
      <w:r>
        <w:fldChar w:fldCharType="end"/>
      </w:r>
      <w:r>
        <w:fldChar w:fldCharType="end"/>
      </w:r>
    </w:p>
    <w:p>
      <w:pPr>
        <w:pStyle w:val="20"/>
        <w:spacing w:before="78" w:after="78"/>
        <w:rPr>
          <w:rFonts w:ascii="Calibri" w:hAnsi="Calibri"/>
          <w:szCs w:val="22"/>
        </w:rPr>
      </w:pPr>
      <w:r>
        <w:fldChar w:fldCharType="begin"/>
      </w:r>
      <w:r>
        <w:instrText xml:space="preserve">HYPERLINK  \l "_Toc513734087" </w:instrText>
      </w:r>
      <w:r>
        <w:fldChar w:fldCharType="separate"/>
      </w:r>
      <w:r>
        <w:rPr>
          <w:rStyle w:val="36"/>
          <w:rFonts w:hint="eastAsia" w:hAnsi="黑体"/>
        </w:rPr>
        <w:t>附录</w:t>
      </w:r>
      <w:r>
        <w:rPr>
          <w:rStyle w:val="36"/>
          <w:rFonts w:ascii="Times New Roman"/>
        </w:rPr>
        <w:t>A</w:t>
      </w:r>
      <w:r>
        <w:rPr>
          <w:rStyle w:val="36"/>
          <w:rFonts w:hint="eastAsia" w:hAnsi="黑体"/>
        </w:rPr>
        <w:t>（规范性附录）原油洗舱作业安全确认表</w:t>
      </w:r>
      <w:r>
        <w:tab/>
      </w:r>
      <w:r>
        <w:fldChar w:fldCharType="begin" w:fldLock="1"/>
      </w:r>
      <w:r>
        <w:instrText xml:space="preserve"> PAGEREF _Toc513734087 \h </w:instrText>
      </w:r>
      <w:r>
        <w:fldChar w:fldCharType="separate"/>
      </w:r>
      <w:r>
        <w:t>15</w:t>
      </w:r>
      <w:r>
        <w:fldChar w:fldCharType="end"/>
      </w:r>
      <w:r>
        <w:fldChar w:fldCharType="end"/>
      </w:r>
    </w:p>
    <w:p>
      <w:pPr>
        <w:pStyle w:val="24"/>
      </w:pPr>
      <w:r>
        <w:fldChar w:fldCharType="end"/>
      </w:r>
    </w:p>
    <w:p>
      <w:pPr>
        <w:pStyle w:val="121"/>
      </w:pPr>
      <w:bookmarkStart w:id="7" w:name="_Toc513734078"/>
      <w:r>
        <w:rPr>
          <w:rFonts w:hint="eastAsia"/>
        </w:rPr>
        <w:t>前</w:t>
      </w:r>
      <w:bookmarkStart w:id="8" w:name="BKQY"/>
      <w:r>
        <w:rPr>
          <w:rFonts w:hint="eastAsia"/>
        </w:rPr>
        <w:t>言</w:t>
      </w:r>
      <w:bookmarkEnd w:id="3"/>
      <w:bookmarkEnd w:id="4"/>
      <w:bookmarkEnd w:id="5"/>
      <w:bookmarkEnd w:id="7"/>
      <w:bookmarkEnd w:id="8"/>
    </w:p>
    <w:p>
      <w:pPr>
        <w:spacing w:line="360" w:lineRule="auto"/>
        <w:ind w:firstLine="422" w:firstLineChars="200"/>
        <w:rPr>
          <w:rFonts w:ascii="宋体" w:hAnsi="宋体" w:cs="宋体"/>
          <w:b/>
          <w:szCs w:val="21"/>
        </w:rPr>
      </w:pPr>
      <w:r>
        <w:rPr>
          <w:rFonts w:hint="eastAsia" w:ascii="宋体" w:hAnsi="宋体" w:cs="宋体"/>
          <w:b/>
          <w:szCs w:val="21"/>
        </w:rPr>
        <w:t>本标准的全部技术内容为强制性。</w:t>
      </w:r>
    </w:p>
    <w:p>
      <w:pPr>
        <w:spacing w:line="360" w:lineRule="auto"/>
        <w:ind w:firstLine="420" w:firstLineChars="200"/>
        <w:rPr>
          <w:rFonts w:ascii="宋体" w:hAnsi="宋体" w:cs="宋体"/>
          <w:szCs w:val="21"/>
        </w:rPr>
      </w:pPr>
      <w:r>
        <w:rPr>
          <w:rFonts w:hint="eastAsia" w:ascii="宋体" w:hAnsi="宋体" w:cs="宋体"/>
          <w:szCs w:val="21"/>
        </w:rPr>
        <w:t>本标准按照</w:t>
      </w:r>
      <w:r>
        <w:rPr>
          <w:rFonts w:ascii="宋体" w:hAnsi="宋体" w:cs="宋体"/>
          <w:szCs w:val="21"/>
        </w:rPr>
        <w:t>GB/T 1.1</w:t>
      </w:r>
      <w:r>
        <w:rPr>
          <w:rFonts w:hint="eastAsia" w:ascii="宋体" w:hAnsi="宋体" w:cs="宋体"/>
          <w:szCs w:val="21"/>
        </w:rPr>
        <w:t>—</w:t>
      </w:r>
      <w:r>
        <w:rPr>
          <w:rFonts w:ascii="宋体" w:hAnsi="宋体" w:cs="宋体"/>
          <w:szCs w:val="21"/>
        </w:rPr>
        <w:t>2009</w:t>
      </w:r>
      <w:r>
        <w:rPr>
          <w:rFonts w:hint="eastAsia" w:ascii="宋体" w:hAnsi="宋体" w:cs="宋体"/>
          <w:szCs w:val="21"/>
        </w:rPr>
        <w:t>给出的规则起草。</w:t>
      </w:r>
    </w:p>
    <w:p>
      <w:pPr>
        <w:spacing w:line="360" w:lineRule="auto"/>
        <w:ind w:firstLine="420" w:firstLineChars="200"/>
        <w:rPr>
          <w:rFonts w:ascii="宋体" w:hAnsi="宋体" w:cs="宋体"/>
          <w:szCs w:val="21"/>
        </w:rPr>
      </w:pPr>
      <w:r>
        <w:rPr>
          <w:rFonts w:hint="eastAsia" w:ascii="宋体" w:hAnsi="宋体" w:cs="宋体"/>
          <w:szCs w:val="21"/>
        </w:rPr>
        <w:t>本标准由中华人民共和国交通运输部提出并归口。</w:t>
      </w:r>
    </w:p>
    <w:p>
      <w:pPr>
        <w:spacing w:line="360" w:lineRule="auto"/>
        <w:ind w:firstLine="420" w:firstLineChars="200"/>
        <w:rPr>
          <w:rFonts w:ascii="宋体" w:hAnsi="宋体" w:cs="宋体"/>
          <w:szCs w:val="21"/>
        </w:rPr>
      </w:pPr>
      <w:r>
        <w:rPr>
          <w:rFonts w:hint="eastAsia" w:ascii="宋体" w:hAnsi="宋体" w:cs="宋体"/>
          <w:szCs w:val="21"/>
        </w:rPr>
        <w:t>本标准起草单位：大连海事大学、中华人民共和国广东海事局。</w:t>
      </w:r>
    </w:p>
    <w:p>
      <w:pPr>
        <w:spacing w:line="360" w:lineRule="auto"/>
        <w:ind w:firstLine="420" w:firstLineChars="200"/>
        <w:rPr>
          <w:rFonts w:ascii="宋体" w:hAnsi="宋体" w:cs="宋体"/>
          <w:szCs w:val="21"/>
        </w:rPr>
      </w:pPr>
      <w:r>
        <w:rPr>
          <w:rFonts w:hint="eastAsia" w:ascii="宋体" w:hAnsi="宋体" w:cs="宋体"/>
          <w:szCs w:val="21"/>
        </w:rPr>
        <w:t>本标准主要起草人：吴宛青、王欢、向元京、周笑怡、李立、黄连忠、郑庆功、陈良、李卫山。</w:t>
      </w:r>
    </w:p>
    <w:p>
      <w:pPr>
        <w:pStyle w:val="24"/>
      </w:pPr>
    </w:p>
    <w:p>
      <w:pPr>
        <w:pStyle w:val="24"/>
      </w:pPr>
    </w:p>
    <w:p>
      <w:pPr>
        <w:pStyle w:val="24"/>
      </w:pPr>
    </w:p>
    <w:p>
      <w:pPr>
        <w:pStyle w:val="24"/>
      </w:pPr>
    </w:p>
    <w:p>
      <w:pPr>
        <w:pStyle w:val="24"/>
        <w:sectPr>
          <w:headerReference r:id="rId6" w:type="default"/>
          <w:footerReference r:id="rId8" w:type="default"/>
          <w:headerReference r:id="rId7" w:type="even"/>
          <w:type w:val="continuous"/>
          <w:pgSz w:w="11906" w:h="16838"/>
          <w:pgMar w:top="851" w:right="1134" w:bottom="1134" w:left="1418" w:header="1418" w:footer="1134" w:gutter="0"/>
          <w:pgNumType w:fmt="upperRoman" w:start="1"/>
          <w:cols w:space="720" w:num="1"/>
          <w:formProt w:val="0"/>
          <w:docGrid w:type="lines" w:linePitch="312"/>
        </w:sectPr>
      </w:pPr>
    </w:p>
    <w:p>
      <w:pPr>
        <w:pStyle w:val="121"/>
      </w:pPr>
      <w:bookmarkStart w:id="9" w:name="_Toc513394616"/>
      <w:bookmarkStart w:id="10" w:name="_Toc464089318"/>
      <w:bookmarkStart w:id="11" w:name="StandardName"/>
      <w:r>
        <w:rPr>
          <w:rFonts w:hint="eastAsia"/>
        </w:rPr>
        <w:t>油船清洗舱安全作业要求</w:t>
      </w:r>
      <w:bookmarkEnd w:id="9"/>
      <w:bookmarkEnd w:id="10"/>
      <w:bookmarkEnd w:id="11"/>
    </w:p>
    <w:p>
      <w:pPr>
        <w:pStyle w:val="88"/>
        <w:spacing w:before="240" w:after="240"/>
      </w:pPr>
      <w:bookmarkStart w:id="12" w:name="_Toc513732003"/>
      <w:bookmarkStart w:id="13" w:name="_Toc513731839"/>
      <w:bookmarkStart w:id="14" w:name="_Toc513731955"/>
      <w:bookmarkStart w:id="15" w:name="_Toc513734079"/>
      <w:bookmarkStart w:id="16" w:name="_Toc513394617"/>
      <w:r>
        <w:rPr>
          <w:rFonts w:hint="eastAsia"/>
        </w:rPr>
        <w:t>范围</w:t>
      </w:r>
      <w:bookmarkEnd w:id="12"/>
      <w:bookmarkEnd w:id="13"/>
      <w:bookmarkEnd w:id="14"/>
      <w:bookmarkEnd w:id="15"/>
      <w:bookmarkEnd w:id="16"/>
    </w:p>
    <w:p>
      <w:pPr>
        <w:pStyle w:val="24"/>
        <w:spacing w:line="360" w:lineRule="auto"/>
        <w:rPr>
          <w:rFonts w:hAnsi="宋体"/>
          <w:szCs w:val="21"/>
        </w:rPr>
      </w:pPr>
      <w:r>
        <w:rPr>
          <w:rFonts w:hint="eastAsia" w:hAnsi="宋体"/>
          <w:szCs w:val="21"/>
        </w:rPr>
        <w:t>本标准规定了油船清洗舱安全作业的一般要求，以及清洗舱、原油洗舱、除气等安全作业要求和应急反应。</w:t>
      </w:r>
    </w:p>
    <w:p>
      <w:pPr>
        <w:pStyle w:val="24"/>
        <w:spacing w:line="360" w:lineRule="auto"/>
        <w:rPr>
          <w:rFonts w:hAnsi="宋体"/>
          <w:szCs w:val="21"/>
        </w:rPr>
      </w:pPr>
      <w:r>
        <w:rPr>
          <w:rFonts w:hint="eastAsia" w:hAnsi="宋体"/>
          <w:szCs w:val="21"/>
        </w:rPr>
        <w:t>本标准适用于150总吨及150总吨以上油船的清洗舱作业。</w:t>
      </w:r>
    </w:p>
    <w:p>
      <w:pPr>
        <w:pStyle w:val="88"/>
        <w:spacing w:before="240" w:after="240"/>
        <w:rPr>
          <w:u w:val="single"/>
        </w:rPr>
      </w:pPr>
      <w:bookmarkStart w:id="17" w:name="_Toc513732004"/>
      <w:bookmarkStart w:id="18" w:name="_Toc513734080"/>
      <w:bookmarkStart w:id="19" w:name="_Toc513731956"/>
      <w:bookmarkStart w:id="20" w:name="_Toc513731840"/>
      <w:bookmarkStart w:id="21" w:name="_Toc513394618"/>
      <w:r>
        <w:rPr>
          <w:rFonts w:hint="eastAsia"/>
        </w:rPr>
        <w:t>规范性引用文件</w:t>
      </w:r>
      <w:bookmarkEnd w:id="17"/>
      <w:bookmarkEnd w:id="18"/>
      <w:bookmarkEnd w:id="19"/>
      <w:bookmarkEnd w:id="20"/>
      <w:bookmarkEnd w:id="21"/>
    </w:p>
    <w:p>
      <w:pPr>
        <w:pStyle w:val="24"/>
        <w:spacing w:line="360" w:lineRule="auto"/>
        <w:rPr>
          <w:rFonts w:hAnsi="宋体"/>
          <w:szCs w:val="21"/>
        </w:rPr>
      </w:pPr>
      <w:r>
        <w:rPr>
          <w:rFonts w:hint="eastAsia" w:hAnsi="宋体"/>
          <w:szCs w:val="21"/>
        </w:rPr>
        <w:t>下列文件对于本文件的应用是必不可少的。凡是注日期的引用文件，仅注日期的版本适用于本文件。凡是不注日期的引用文件，其最新版本（包括所有的修改单）适用于本文件。</w:t>
      </w:r>
    </w:p>
    <w:p>
      <w:pPr>
        <w:pStyle w:val="24"/>
        <w:spacing w:line="360" w:lineRule="auto"/>
        <w:rPr>
          <w:rFonts w:hAnsi="宋体"/>
          <w:szCs w:val="21"/>
        </w:rPr>
      </w:pPr>
      <w:r>
        <w:rPr>
          <w:rFonts w:hAnsi="宋体"/>
          <w:szCs w:val="21"/>
        </w:rPr>
        <w:t xml:space="preserve">GB 18434  </w:t>
      </w:r>
      <w:r>
        <w:rPr>
          <w:rFonts w:hint="eastAsia" w:hAnsi="宋体"/>
          <w:szCs w:val="21"/>
        </w:rPr>
        <w:t>油船油码头安全作业规程</w:t>
      </w:r>
    </w:p>
    <w:p>
      <w:pPr>
        <w:pStyle w:val="24"/>
        <w:spacing w:line="360" w:lineRule="auto"/>
        <w:rPr>
          <w:rFonts w:hAnsi="宋体"/>
          <w:szCs w:val="21"/>
        </w:rPr>
      </w:pPr>
      <w:r>
        <w:rPr>
          <w:rFonts w:hAnsi="宋体"/>
          <w:szCs w:val="21"/>
        </w:rPr>
        <w:t xml:space="preserve">GB XXXX   </w:t>
      </w:r>
      <w:r>
        <w:rPr>
          <w:rFonts w:hint="eastAsia" w:hAnsi="宋体"/>
          <w:szCs w:val="21"/>
        </w:rPr>
        <w:t>油船静电安全技术要求</w:t>
      </w:r>
    </w:p>
    <w:p>
      <w:pPr>
        <w:pStyle w:val="24"/>
        <w:spacing w:line="360" w:lineRule="auto"/>
        <w:rPr>
          <w:rFonts w:hAnsi="宋体"/>
          <w:szCs w:val="21"/>
        </w:rPr>
      </w:pPr>
      <w:r>
        <w:rPr>
          <w:rFonts w:hint="eastAsia" w:hAnsi="宋体"/>
          <w:szCs w:val="21"/>
        </w:rPr>
        <w:t>国际海事组织 《国际海上人命安全公约》（</w:t>
      </w:r>
      <w:r>
        <w:rPr>
          <w:rFonts w:hAnsi="宋体"/>
          <w:szCs w:val="21"/>
        </w:rPr>
        <w:t>International convention for safety of life at sea</w:t>
      </w:r>
      <w:r>
        <w:rPr>
          <w:rFonts w:hint="eastAsia" w:hAnsi="宋体"/>
          <w:szCs w:val="21"/>
        </w:rPr>
        <w:t>）</w:t>
      </w:r>
    </w:p>
    <w:p>
      <w:pPr>
        <w:pStyle w:val="24"/>
        <w:spacing w:line="360" w:lineRule="auto"/>
        <w:rPr>
          <w:rFonts w:hAnsi="宋体"/>
          <w:szCs w:val="21"/>
        </w:rPr>
      </w:pPr>
      <w:r>
        <w:rPr>
          <w:rFonts w:hint="eastAsia" w:hAnsi="宋体"/>
          <w:szCs w:val="21"/>
        </w:rPr>
        <w:t>国际海事组织 《国际防止船舶造成污染公约》（T</w:t>
      </w:r>
      <w:r>
        <w:rPr>
          <w:rFonts w:hAnsi="宋体"/>
          <w:szCs w:val="21"/>
        </w:rPr>
        <w:t>he international convention for the prevention of pollution from ships</w:t>
      </w:r>
      <w:r>
        <w:rPr>
          <w:rFonts w:hint="eastAsia" w:hAnsi="宋体"/>
          <w:szCs w:val="21"/>
        </w:rPr>
        <w:t>）</w:t>
      </w:r>
    </w:p>
    <w:p>
      <w:pPr>
        <w:pStyle w:val="24"/>
        <w:spacing w:line="360" w:lineRule="auto"/>
        <w:rPr>
          <w:rFonts w:hAnsi="宋体"/>
          <w:szCs w:val="21"/>
        </w:rPr>
      </w:pPr>
      <w:r>
        <w:rPr>
          <w:rFonts w:hint="eastAsia" w:hAnsi="宋体"/>
          <w:szCs w:val="21"/>
        </w:rPr>
        <w:t>国家海事组织 《国际消防安全系统规则》（I</w:t>
      </w:r>
      <w:r>
        <w:rPr>
          <w:rFonts w:hAnsi="宋体"/>
          <w:szCs w:val="21"/>
        </w:rPr>
        <w:t>nternational code for fire safety systems</w:t>
      </w:r>
      <w:r>
        <w:rPr>
          <w:rFonts w:hint="eastAsia" w:hAnsi="宋体"/>
          <w:szCs w:val="21"/>
        </w:rPr>
        <w:t>）</w:t>
      </w:r>
    </w:p>
    <w:p>
      <w:pPr>
        <w:pStyle w:val="88"/>
        <w:spacing w:before="240" w:after="240"/>
      </w:pPr>
      <w:bookmarkStart w:id="22" w:name="_Toc513734081"/>
      <w:bookmarkStart w:id="23" w:name="_Toc513394619"/>
      <w:bookmarkStart w:id="24" w:name="_Toc513731957"/>
      <w:bookmarkStart w:id="25" w:name="_Toc513731841"/>
      <w:bookmarkStart w:id="26" w:name="_Toc513732005"/>
      <w:r>
        <w:rPr>
          <w:rFonts w:hint="eastAsia"/>
        </w:rPr>
        <w:t>术语和定义</w:t>
      </w:r>
      <w:bookmarkEnd w:id="22"/>
      <w:bookmarkEnd w:id="23"/>
      <w:bookmarkEnd w:id="24"/>
      <w:bookmarkEnd w:id="25"/>
      <w:bookmarkEnd w:id="26"/>
    </w:p>
    <w:p>
      <w:pPr>
        <w:pStyle w:val="24"/>
        <w:spacing w:line="360" w:lineRule="auto"/>
        <w:rPr>
          <w:rFonts w:hAnsi="宋体"/>
          <w:szCs w:val="21"/>
        </w:rPr>
      </w:pPr>
      <w:r>
        <w:rPr>
          <w:rFonts w:hint="eastAsia" w:hAnsi="宋体"/>
          <w:szCs w:val="21"/>
        </w:rPr>
        <w:t>下列术语和定义适用于本文件。</w:t>
      </w:r>
    </w:p>
    <w:p>
      <w:pPr>
        <w:pStyle w:val="46"/>
        <w:spacing w:before="120" w:after="120" w:line="360" w:lineRule="auto"/>
        <w:jc w:val="both"/>
        <w:rPr>
          <w:rFonts w:hAnsi="黑体"/>
          <w:b/>
        </w:rPr>
      </w:pPr>
      <w:bookmarkStart w:id="27" w:name="_Toc464089324"/>
      <w:bookmarkStart w:id="28" w:name="_Toc513731963"/>
      <w:bookmarkStart w:id="29" w:name="_Toc513731847"/>
      <w:bookmarkStart w:id="30" w:name="_Toc513394625"/>
    </w:p>
    <w:p>
      <w:pPr>
        <w:pStyle w:val="24"/>
        <w:spacing w:line="360" w:lineRule="auto"/>
        <w:ind w:firstLine="422"/>
        <w:rPr>
          <w:rFonts w:ascii="黑体" w:hAnsi="黑体" w:eastAsia="黑体"/>
          <w:b/>
        </w:rPr>
      </w:pPr>
      <w:r>
        <w:rPr>
          <w:rFonts w:hint="eastAsia" w:ascii="黑体" w:hAnsi="黑体" w:eastAsia="黑体"/>
          <w:b/>
        </w:rPr>
        <w:t>洗舱 t</w:t>
      </w:r>
      <w:r>
        <w:rPr>
          <w:rFonts w:ascii="黑体" w:hAnsi="黑体" w:eastAsia="黑体"/>
          <w:b/>
        </w:rPr>
        <w:t>ank washing</w:t>
      </w:r>
    </w:p>
    <w:p>
      <w:pPr>
        <w:pStyle w:val="24"/>
      </w:pPr>
      <w:r>
        <w:rPr>
          <w:rFonts w:hint="eastAsia"/>
        </w:rPr>
        <w:t>以水、原油等作为介质，通过洗舱设备清洗液货舱内表面及其构</w:t>
      </w:r>
      <w:r>
        <w:rPr>
          <w:rFonts w:hint="eastAsia"/>
          <w:lang w:eastAsia="zh-CN"/>
        </w:rPr>
        <w:t>件</w:t>
      </w:r>
      <w:r>
        <w:rPr>
          <w:rFonts w:hint="eastAsia"/>
        </w:rPr>
        <w:t>的作业。</w:t>
      </w:r>
    </w:p>
    <w:p>
      <w:pPr>
        <w:pStyle w:val="46"/>
        <w:spacing w:before="120" w:after="120" w:line="360" w:lineRule="auto"/>
        <w:jc w:val="both"/>
      </w:pPr>
    </w:p>
    <w:p>
      <w:pPr>
        <w:pStyle w:val="24"/>
        <w:spacing w:line="360" w:lineRule="auto"/>
        <w:ind w:firstLine="422"/>
        <w:rPr>
          <w:rFonts w:ascii="黑体" w:hAnsi="黑体" w:eastAsia="黑体"/>
          <w:b/>
        </w:rPr>
      </w:pPr>
      <w:r>
        <w:rPr>
          <w:rFonts w:hint="eastAsia" w:ascii="黑体" w:hAnsi="黑体" w:eastAsia="黑体"/>
          <w:b/>
        </w:rPr>
        <w:t xml:space="preserve">洗舱机 </w:t>
      </w:r>
      <w:r>
        <w:rPr>
          <w:rFonts w:ascii="黑体" w:hAnsi="黑体" w:eastAsia="黑体"/>
          <w:b/>
        </w:rPr>
        <w:t>tank washing machines</w:t>
      </w:r>
      <w:bookmarkEnd w:id="27"/>
      <w:bookmarkEnd w:id="28"/>
      <w:bookmarkEnd w:id="29"/>
      <w:bookmarkEnd w:id="30"/>
    </w:p>
    <w:p>
      <w:pPr>
        <w:pStyle w:val="24"/>
        <w:spacing w:line="360" w:lineRule="auto"/>
        <w:rPr>
          <w:rFonts w:hAnsi="宋体"/>
          <w:szCs w:val="21"/>
        </w:rPr>
      </w:pPr>
      <w:r>
        <w:rPr>
          <w:rFonts w:hint="eastAsia" w:hAnsi="宋体"/>
          <w:szCs w:val="21"/>
        </w:rPr>
        <w:t>在驱动装置带动下，可在不同方向上改变喷嘴喷射角度的洗舱设备。</w:t>
      </w:r>
    </w:p>
    <w:p>
      <w:pPr>
        <w:pStyle w:val="106"/>
      </w:pPr>
      <w:r>
        <w:rPr>
          <w:rFonts w:hint="eastAsia"/>
        </w:rPr>
        <w:t>洗舱机分为单喷嘴洗舱机和双喷嘴洗舱机。</w:t>
      </w:r>
    </w:p>
    <w:p>
      <w:pPr>
        <w:pStyle w:val="46"/>
        <w:spacing w:before="120" w:after="120" w:line="360" w:lineRule="auto"/>
        <w:jc w:val="both"/>
        <w:rPr>
          <w:rFonts w:hAnsi="黑体"/>
        </w:rPr>
      </w:pPr>
      <w:bookmarkStart w:id="31" w:name="_Toc464089325"/>
      <w:bookmarkStart w:id="32" w:name="_Toc513394626"/>
      <w:bookmarkStart w:id="33" w:name="_Toc513731964"/>
      <w:bookmarkStart w:id="34" w:name="_Toc513731848"/>
    </w:p>
    <w:p>
      <w:pPr>
        <w:pStyle w:val="24"/>
        <w:spacing w:line="360" w:lineRule="auto"/>
        <w:ind w:firstLine="422"/>
        <w:rPr>
          <w:rFonts w:hAnsi="黑体"/>
          <w:b/>
        </w:rPr>
      </w:pPr>
      <w:r>
        <w:rPr>
          <w:rFonts w:hint="eastAsia" w:ascii="黑体" w:hAnsi="黑体" w:eastAsia="黑体"/>
          <w:b/>
        </w:rPr>
        <w:t xml:space="preserve">清舱 </w:t>
      </w:r>
      <w:r>
        <w:rPr>
          <w:rFonts w:ascii="黑体" w:hAnsi="黑体" w:eastAsia="黑体"/>
          <w:b/>
        </w:rPr>
        <w:t>tank cleaning</w:t>
      </w:r>
      <w:bookmarkEnd w:id="31"/>
      <w:bookmarkEnd w:id="32"/>
      <w:bookmarkEnd w:id="33"/>
      <w:bookmarkEnd w:id="34"/>
    </w:p>
    <w:p>
      <w:pPr>
        <w:pStyle w:val="24"/>
        <w:spacing w:line="360" w:lineRule="auto"/>
        <w:rPr>
          <w:rFonts w:hAnsi="宋体"/>
          <w:szCs w:val="21"/>
        </w:rPr>
      </w:pPr>
      <w:r>
        <w:rPr>
          <w:rFonts w:hint="eastAsia" w:hAnsi="宋体"/>
          <w:szCs w:val="21"/>
        </w:rPr>
        <w:t>清除液货舱内烃类蒸气、液体或残渣的过程，通常清舱要达到可以进舱检查、进行热工作业或装运不同等级货物以防污染的目的。</w:t>
      </w:r>
    </w:p>
    <w:p>
      <w:pPr>
        <w:pStyle w:val="46"/>
        <w:spacing w:before="120" w:after="120" w:line="360" w:lineRule="auto"/>
        <w:jc w:val="both"/>
        <w:rPr>
          <w:rFonts w:hAnsi="黑体"/>
        </w:rPr>
      </w:pPr>
      <w:bookmarkStart w:id="35" w:name="_Toc513731849"/>
      <w:bookmarkStart w:id="36" w:name="_Toc513731965"/>
      <w:bookmarkStart w:id="37" w:name="_Toc513394627"/>
      <w:bookmarkStart w:id="38" w:name="_Toc464089326"/>
    </w:p>
    <w:p>
      <w:pPr>
        <w:pStyle w:val="24"/>
        <w:spacing w:line="360" w:lineRule="auto"/>
        <w:ind w:firstLine="422"/>
        <w:rPr>
          <w:rFonts w:hAnsi="黑体"/>
          <w:b/>
        </w:rPr>
      </w:pPr>
      <w:r>
        <w:rPr>
          <w:rFonts w:hint="eastAsia" w:ascii="黑体" w:hAnsi="黑体" w:eastAsia="黑体"/>
          <w:b/>
        </w:rPr>
        <w:t xml:space="preserve">原油洗舱 </w:t>
      </w:r>
      <w:r>
        <w:rPr>
          <w:rFonts w:ascii="黑体" w:hAnsi="黑体" w:eastAsia="黑体"/>
          <w:b/>
        </w:rPr>
        <w:t>c</w:t>
      </w:r>
      <w:r>
        <w:rPr>
          <w:rFonts w:hint="eastAsia" w:ascii="黑体" w:hAnsi="黑体" w:eastAsia="黑体"/>
          <w:b/>
        </w:rPr>
        <w:t>rude oil washing</w:t>
      </w:r>
      <w:bookmarkEnd w:id="35"/>
      <w:bookmarkEnd w:id="36"/>
      <w:bookmarkEnd w:id="37"/>
      <w:bookmarkEnd w:id="38"/>
    </w:p>
    <w:p>
      <w:pPr>
        <w:pStyle w:val="24"/>
        <w:spacing w:line="360" w:lineRule="auto"/>
        <w:rPr>
          <w:rFonts w:hAnsi="宋体"/>
          <w:szCs w:val="21"/>
        </w:rPr>
      </w:pPr>
      <w:r>
        <w:rPr>
          <w:rFonts w:hint="eastAsia" w:hAnsi="宋体"/>
          <w:szCs w:val="21"/>
        </w:rPr>
        <w:t>运输原油的油船以所载货油作为清洗介质，通过洗舱机在高压下喷射到货油舱内并依靠原油本身的溶解作用，将附着在舱壁、构件及舱底上的油渣洗掉，并同货油一起卸到岸上的作业。</w:t>
      </w:r>
    </w:p>
    <w:p>
      <w:pPr>
        <w:pStyle w:val="46"/>
        <w:spacing w:before="120" w:after="120" w:line="360" w:lineRule="auto"/>
        <w:jc w:val="both"/>
        <w:rPr>
          <w:rFonts w:hAnsi="黑体"/>
        </w:rPr>
      </w:pPr>
      <w:bookmarkStart w:id="39" w:name="_Toc464089327"/>
      <w:bookmarkStart w:id="40" w:name="_Toc513394628"/>
      <w:bookmarkStart w:id="41" w:name="_Toc513731850"/>
      <w:bookmarkStart w:id="42" w:name="_Toc513731966"/>
    </w:p>
    <w:p>
      <w:pPr>
        <w:pStyle w:val="24"/>
        <w:spacing w:line="360" w:lineRule="auto"/>
        <w:ind w:firstLine="422"/>
        <w:rPr>
          <w:rFonts w:hAnsi="黑体"/>
          <w:b/>
        </w:rPr>
      </w:pPr>
      <w:r>
        <w:rPr>
          <w:rFonts w:hint="eastAsia" w:ascii="黑体" w:hAnsi="黑体" w:eastAsia="黑体"/>
          <w:b/>
        </w:rPr>
        <w:t xml:space="preserve">水洗舱 </w:t>
      </w:r>
      <w:r>
        <w:rPr>
          <w:rFonts w:ascii="黑体" w:hAnsi="黑体" w:eastAsia="黑体"/>
          <w:b/>
        </w:rPr>
        <w:t>w</w:t>
      </w:r>
      <w:r>
        <w:rPr>
          <w:rFonts w:hint="eastAsia" w:ascii="黑体" w:hAnsi="黑体" w:eastAsia="黑体"/>
          <w:b/>
        </w:rPr>
        <w:t>ater washing</w:t>
      </w:r>
      <w:bookmarkEnd w:id="39"/>
      <w:bookmarkEnd w:id="40"/>
      <w:bookmarkEnd w:id="41"/>
      <w:bookmarkEnd w:id="42"/>
    </w:p>
    <w:p>
      <w:pPr>
        <w:pStyle w:val="24"/>
        <w:spacing w:line="360" w:lineRule="auto"/>
        <w:rPr>
          <w:rFonts w:hAnsi="宋体"/>
          <w:szCs w:val="21"/>
        </w:rPr>
      </w:pPr>
      <w:r>
        <w:rPr>
          <w:rFonts w:hint="eastAsia" w:hAnsi="宋体"/>
          <w:szCs w:val="21"/>
        </w:rPr>
        <w:t>以水作为介质，通过洗舱设备清洗液货舱内表面及其构</w:t>
      </w:r>
      <w:r>
        <w:rPr>
          <w:rFonts w:hint="eastAsia" w:hAnsi="宋体"/>
          <w:szCs w:val="21"/>
          <w:lang w:eastAsia="zh-CN"/>
        </w:rPr>
        <w:t>件</w:t>
      </w:r>
      <w:bookmarkStart w:id="226" w:name="_GoBack"/>
      <w:bookmarkEnd w:id="226"/>
      <w:r>
        <w:rPr>
          <w:rFonts w:hint="eastAsia" w:hAnsi="宋体"/>
          <w:szCs w:val="21"/>
        </w:rPr>
        <w:t>的作业。</w:t>
      </w:r>
    </w:p>
    <w:p>
      <w:pPr>
        <w:pStyle w:val="106"/>
      </w:pPr>
      <w:r>
        <w:rPr>
          <w:rFonts w:hint="eastAsia"/>
        </w:rPr>
        <w:t>包括成品油船的水洗、原油船的水洗和原油洗舱后的水洗。</w:t>
      </w:r>
    </w:p>
    <w:p>
      <w:pPr>
        <w:pStyle w:val="46"/>
        <w:spacing w:before="120" w:after="120" w:line="360" w:lineRule="auto"/>
        <w:jc w:val="both"/>
        <w:rPr>
          <w:rFonts w:hAnsi="黑体"/>
        </w:rPr>
      </w:pPr>
      <w:bookmarkStart w:id="43" w:name="_Toc464089328"/>
      <w:bookmarkStart w:id="44" w:name="_Toc513394629"/>
      <w:bookmarkStart w:id="45" w:name="_Toc513731851"/>
      <w:bookmarkStart w:id="46" w:name="_Toc513731967"/>
    </w:p>
    <w:p>
      <w:pPr>
        <w:pStyle w:val="24"/>
        <w:spacing w:line="360" w:lineRule="auto"/>
        <w:ind w:firstLine="422"/>
        <w:rPr>
          <w:rFonts w:ascii="黑体" w:hAnsi="黑体" w:eastAsia="黑体"/>
          <w:b/>
        </w:rPr>
      </w:pPr>
      <w:r>
        <w:rPr>
          <w:rFonts w:hint="eastAsia" w:ascii="黑体" w:hAnsi="黑体" w:eastAsia="黑体"/>
          <w:b/>
        </w:rPr>
        <w:t xml:space="preserve">惰性气体 </w:t>
      </w:r>
      <w:r>
        <w:rPr>
          <w:rFonts w:ascii="黑体" w:hAnsi="黑体" w:eastAsia="黑体"/>
          <w:b/>
        </w:rPr>
        <w:t>in</w:t>
      </w:r>
      <w:r>
        <w:rPr>
          <w:rFonts w:hint="eastAsia" w:ascii="黑体" w:hAnsi="黑体" w:eastAsia="黑体"/>
          <w:b/>
        </w:rPr>
        <w:t>ert</w:t>
      </w:r>
      <w:r>
        <w:rPr>
          <w:rFonts w:ascii="黑体" w:hAnsi="黑体" w:eastAsia="黑体"/>
          <w:b/>
        </w:rPr>
        <w:t xml:space="preserve"> </w:t>
      </w:r>
      <w:r>
        <w:rPr>
          <w:rFonts w:hint="eastAsia" w:ascii="黑体" w:hAnsi="黑体" w:eastAsia="黑体"/>
          <w:b/>
        </w:rPr>
        <w:t>g</w:t>
      </w:r>
      <w:r>
        <w:rPr>
          <w:rFonts w:ascii="黑体" w:hAnsi="黑体" w:eastAsia="黑体"/>
          <w:b/>
        </w:rPr>
        <w:t>as</w:t>
      </w:r>
    </w:p>
    <w:p>
      <w:pPr>
        <w:pStyle w:val="24"/>
        <w:spacing w:line="360" w:lineRule="auto"/>
        <w:rPr>
          <w:rFonts w:hAnsi="宋体"/>
          <w:szCs w:val="21"/>
        </w:rPr>
      </w:pPr>
      <w:r>
        <w:rPr>
          <w:rFonts w:hint="eastAsia" w:hAnsi="宋体"/>
          <w:szCs w:val="21"/>
        </w:rPr>
        <w:t>含氧量不足以维持碳氢化合物(烃气)燃烧的单一气体或混合气体。</w:t>
      </w:r>
    </w:p>
    <w:p>
      <w:pPr>
        <w:pStyle w:val="46"/>
        <w:spacing w:before="120" w:after="120" w:line="360" w:lineRule="auto"/>
        <w:jc w:val="both"/>
      </w:pPr>
    </w:p>
    <w:p>
      <w:pPr>
        <w:pStyle w:val="24"/>
        <w:spacing w:line="360" w:lineRule="auto"/>
        <w:ind w:firstLine="422"/>
        <w:rPr>
          <w:rFonts w:hAnsi="黑体"/>
          <w:b/>
        </w:rPr>
      </w:pPr>
      <w:r>
        <w:rPr>
          <w:rFonts w:hint="eastAsia" w:ascii="黑体" w:hAnsi="黑体" w:eastAsia="黑体"/>
          <w:b/>
        </w:rPr>
        <w:t xml:space="preserve">惰化状态 </w:t>
      </w:r>
      <w:r>
        <w:rPr>
          <w:rFonts w:ascii="黑体" w:hAnsi="黑体" w:eastAsia="黑体"/>
          <w:b/>
        </w:rPr>
        <w:t>i</w:t>
      </w:r>
      <w:r>
        <w:rPr>
          <w:rFonts w:hint="eastAsia" w:ascii="黑体" w:hAnsi="黑体" w:eastAsia="黑体"/>
          <w:b/>
        </w:rPr>
        <w:t>nert condition</w:t>
      </w:r>
      <w:bookmarkEnd w:id="43"/>
      <w:bookmarkEnd w:id="44"/>
      <w:bookmarkEnd w:id="45"/>
      <w:bookmarkEnd w:id="46"/>
    </w:p>
    <w:p>
      <w:pPr>
        <w:pStyle w:val="24"/>
        <w:spacing w:line="360" w:lineRule="auto"/>
        <w:rPr>
          <w:rFonts w:hAnsi="宋体"/>
          <w:szCs w:val="21"/>
        </w:rPr>
      </w:pPr>
      <w:r>
        <w:rPr>
          <w:rFonts w:hint="eastAsia" w:hAnsi="宋体"/>
          <w:szCs w:val="21"/>
        </w:rPr>
        <w:t>液货舱经过充入惰性气体之后，舱内气体含氧量按体积比已下降至百分之八或以下时的状态。</w:t>
      </w:r>
    </w:p>
    <w:p>
      <w:pPr>
        <w:pStyle w:val="46"/>
        <w:spacing w:before="120" w:after="120" w:line="360" w:lineRule="auto"/>
        <w:jc w:val="both"/>
        <w:rPr>
          <w:rFonts w:hAnsi="黑体"/>
        </w:rPr>
      </w:pPr>
      <w:bookmarkStart w:id="47" w:name="_Toc464089330"/>
      <w:bookmarkStart w:id="48" w:name="_Toc513394631"/>
      <w:bookmarkStart w:id="49" w:name="_Toc513731853"/>
      <w:bookmarkStart w:id="50" w:name="_Toc513731969"/>
    </w:p>
    <w:p>
      <w:pPr>
        <w:pStyle w:val="24"/>
        <w:spacing w:line="360" w:lineRule="auto"/>
        <w:ind w:firstLine="422"/>
        <w:rPr>
          <w:rFonts w:hAnsi="黑体"/>
          <w:b/>
        </w:rPr>
      </w:pPr>
      <w:r>
        <w:rPr>
          <w:rFonts w:hint="eastAsia" w:ascii="黑体" w:hAnsi="黑体" w:eastAsia="黑体"/>
          <w:b/>
        </w:rPr>
        <w:t>惰性气体系统</w:t>
      </w:r>
      <w:r>
        <w:rPr>
          <w:rFonts w:ascii="黑体" w:hAnsi="黑体" w:eastAsia="黑体"/>
          <w:b/>
        </w:rPr>
        <w:t>i</w:t>
      </w:r>
      <w:r>
        <w:rPr>
          <w:rFonts w:hint="eastAsia" w:ascii="黑体" w:hAnsi="黑体" w:eastAsia="黑体"/>
          <w:b/>
        </w:rPr>
        <w:t>nert gas system</w:t>
      </w:r>
      <w:r>
        <w:rPr>
          <w:rFonts w:ascii="黑体" w:hAnsi="黑体" w:eastAsia="黑体"/>
          <w:b/>
        </w:rPr>
        <w:t>(IGS)</w:t>
      </w:r>
      <w:bookmarkEnd w:id="47"/>
      <w:bookmarkEnd w:id="48"/>
      <w:bookmarkEnd w:id="49"/>
      <w:bookmarkEnd w:id="50"/>
    </w:p>
    <w:p>
      <w:pPr>
        <w:pStyle w:val="24"/>
        <w:spacing w:line="360" w:lineRule="auto"/>
        <w:rPr>
          <w:rFonts w:hAnsi="宋体"/>
          <w:szCs w:val="21"/>
        </w:rPr>
      </w:pPr>
      <w:r>
        <w:rPr>
          <w:rFonts w:hint="eastAsia" w:hAnsi="宋体"/>
          <w:szCs w:val="21"/>
        </w:rPr>
        <w:t>包括使用烟道气体的惰性气体系统、惰性气体发生器和氮气发生器，系指惰性气体装置和惰性气体分配以及防止货物气体回流至机器处所的装置、固定和手提式测量仪器及控制装置。</w:t>
      </w:r>
    </w:p>
    <w:p>
      <w:pPr>
        <w:pStyle w:val="46"/>
        <w:spacing w:before="120" w:after="120" w:line="360" w:lineRule="auto"/>
        <w:jc w:val="both"/>
        <w:rPr>
          <w:rFonts w:hAnsi="黑体"/>
        </w:rPr>
      </w:pPr>
      <w:bookmarkStart w:id="51" w:name="_Toc464089331"/>
      <w:bookmarkStart w:id="52" w:name="_Toc513394632"/>
      <w:bookmarkStart w:id="53" w:name="_Toc513731854"/>
      <w:bookmarkStart w:id="54" w:name="_Toc513731970"/>
    </w:p>
    <w:p>
      <w:pPr>
        <w:pStyle w:val="24"/>
        <w:spacing w:line="360" w:lineRule="auto"/>
        <w:ind w:firstLine="422"/>
        <w:rPr>
          <w:rFonts w:hAnsi="黑体"/>
          <w:b/>
        </w:rPr>
      </w:pPr>
      <w:r>
        <w:rPr>
          <w:rFonts w:hint="eastAsia" w:ascii="黑体" w:hAnsi="黑体" w:eastAsia="黑体"/>
          <w:b/>
        </w:rPr>
        <w:t xml:space="preserve">充惰 </w:t>
      </w:r>
      <w:r>
        <w:rPr>
          <w:rFonts w:ascii="黑体" w:hAnsi="黑体" w:eastAsia="黑体"/>
          <w:b/>
        </w:rPr>
        <w:t>i</w:t>
      </w:r>
      <w:r>
        <w:rPr>
          <w:rFonts w:hint="eastAsia" w:ascii="黑体" w:hAnsi="黑体" w:eastAsia="黑体"/>
          <w:b/>
        </w:rPr>
        <w:t>n</w:t>
      </w:r>
      <w:r>
        <w:rPr>
          <w:rFonts w:ascii="黑体" w:hAnsi="黑体" w:eastAsia="黑体"/>
          <w:b/>
        </w:rPr>
        <w:t>erting</w:t>
      </w:r>
      <w:bookmarkEnd w:id="51"/>
      <w:bookmarkEnd w:id="52"/>
      <w:bookmarkEnd w:id="53"/>
      <w:bookmarkEnd w:id="54"/>
    </w:p>
    <w:p>
      <w:pPr>
        <w:pStyle w:val="24"/>
        <w:spacing w:line="360" w:lineRule="auto"/>
        <w:rPr>
          <w:rFonts w:hAnsi="宋体"/>
          <w:szCs w:val="21"/>
        </w:rPr>
      </w:pPr>
      <w:r>
        <w:rPr>
          <w:rFonts w:hint="eastAsia" w:hAnsi="宋体"/>
          <w:szCs w:val="21"/>
        </w:rPr>
        <w:t>将惰性气体通入液货舱以达到惰化状态目的的作业。</w:t>
      </w:r>
    </w:p>
    <w:p>
      <w:pPr>
        <w:pStyle w:val="46"/>
        <w:spacing w:before="120" w:after="120" w:line="360" w:lineRule="auto"/>
        <w:jc w:val="both"/>
        <w:rPr>
          <w:rFonts w:hAnsi="黑体"/>
        </w:rPr>
      </w:pPr>
      <w:bookmarkStart w:id="55" w:name="_Toc464089332"/>
      <w:bookmarkStart w:id="56" w:name="_Toc513394633"/>
      <w:bookmarkStart w:id="57" w:name="_Toc513731855"/>
      <w:bookmarkStart w:id="58" w:name="_Toc513731971"/>
    </w:p>
    <w:p>
      <w:pPr>
        <w:pStyle w:val="24"/>
        <w:spacing w:line="360" w:lineRule="auto"/>
        <w:ind w:firstLine="422"/>
        <w:rPr>
          <w:rFonts w:hAnsi="黑体"/>
          <w:b/>
        </w:rPr>
      </w:pPr>
      <w:r>
        <w:rPr>
          <w:rFonts w:hint="eastAsia" w:ascii="黑体" w:hAnsi="黑体" w:eastAsia="黑体"/>
          <w:b/>
        </w:rPr>
        <w:t xml:space="preserve">除气 </w:t>
      </w:r>
      <w:r>
        <w:rPr>
          <w:rFonts w:ascii="黑体" w:hAnsi="黑体" w:eastAsia="黑体"/>
          <w:b/>
        </w:rPr>
        <w:t>g</w:t>
      </w:r>
      <w:r>
        <w:rPr>
          <w:rFonts w:hint="eastAsia" w:ascii="黑体" w:hAnsi="黑体" w:eastAsia="黑体"/>
          <w:b/>
        </w:rPr>
        <w:t>as free</w:t>
      </w:r>
      <w:bookmarkEnd w:id="55"/>
      <w:bookmarkEnd w:id="56"/>
      <w:bookmarkEnd w:id="57"/>
      <w:bookmarkEnd w:id="58"/>
    </w:p>
    <w:p>
      <w:pPr>
        <w:pStyle w:val="24"/>
        <w:spacing w:line="360" w:lineRule="auto"/>
        <w:rPr>
          <w:rFonts w:hAnsi="宋体"/>
          <w:szCs w:val="21"/>
        </w:rPr>
      </w:pPr>
      <w:r>
        <w:rPr>
          <w:rFonts w:hint="eastAsia" w:hAnsi="宋体"/>
          <w:szCs w:val="21"/>
        </w:rPr>
        <w:t>用新鲜空气通入舱内，将舱内易燃、有毒气体排除，使舱内气体状态达到安全标准要求的作业。</w:t>
      </w:r>
    </w:p>
    <w:p>
      <w:pPr>
        <w:pStyle w:val="24"/>
        <w:spacing w:line="360" w:lineRule="auto"/>
        <w:rPr>
          <w:rFonts w:hAnsi="宋体"/>
          <w:szCs w:val="21"/>
        </w:rPr>
      </w:pPr>
      <w:r>
        <w:rPr>
          <w:rFonts w:hint="eastAsia" w:hAnsi="宋体"/>
          <w:szCs w:val="21"/>
        </w:rPr>
        <w:t>注：安全标准是指舱中碳氢化合物或其他可燃蒸气的含量低于可燃下限（</w:t>
      </w:r>
      <w:r>
        <w:rPr>
          <w:rFonts w:ascii="Times New Roman"/>
          <w:szCs w:val="21"/>
        </w:rPr>
        <w:t>LFL</w:t>
      </w:r>
      <w:r>
        <w:rPr>
          <w:rFonts w:hint="eastAsia" w:hAnsi="宋体"/>
          <w:szCs w:val="21"/>
        </w:rPr>
        <w:t>）的1%，含氧量为21%，并且无毒性气体存在。</w:t>
      </w:r>
    </w:p>
    <w:p>
      <w:pPr>
        <w:pStyle w:val="46"/>
        <w:spacing w:before="120" w:after="120" w:line="360" w:lineRule="auto"/>
        <w:jc w:val="both"/>
        <w:rPr>
          <w:rFonts w:hAnsi="黑体"/>
        </w:rPr>
      </w:pPr>
      <w:bookmarkStart w:id="59" w:name="_Toc464089333"/>
      <w:bookmarkStart w:id="60" w:name="_Toc513394634"/>
      <w:bookmarkStart w:id="61" w:name="_Toc513731856"/>
      <w:bookmarkStart w:id="62" w:name="_Toc513731972"/>
    </w:p>
    <w:p>
      <w:pPr>
        <w:pStyle w:val="24"/>
        <w:spacing w:line="360" w:lineRule="auto"/>
        <w:ind w:firstLine="422"/>
        <w:rPr>
          <w:rFonts w:hAnsi="黑体"/>
          <w:b/>
        </w:rPr>
      </w:pPr>
      <w:r>
        <w:rPr>
          <w:rFonts w:hint="eastAsia" w:ascii="黑体" w:hAnsi="黑体" w:eastAsia="黑体"/>
          <w:b/>
        </w:rPr>
        <w:t xml:space="preserve">除气证书 </w:t>
      </w:r>
      <w:r>
        <w:rPr>
          <w:rFonts w:ascii="黑体" w:hAnsi="黑体" w:eastAsia="黑体"/>
          <w:b/>
        </w:rPr>
        <w:t>g</w:t>
      </w:r>
      <w:r>
        <w:rPr>
          <w:rFonts w:hint="eastAsia" w:ascii="黑体" w:hAnsi="黑体" w:eastAsia="黑体"/>
          <w:b/>
        </w:rPr>
        <w:t>as free certification</w:t>
      </w:r>
      <w:bookmarkEnd w:id="59"/>
      <w:bookmarkEnd w:id="60"/>
      <w:bookmarkEnd w:id="61"/>
      <w:bookmarkEnd w:id="62"/>
    </w:p>
    <w:p>
      <w:pPr>
        <w:pStyle w:val="24"/>
        <w:spacing w:line="360" w:lineRule="auto"/>
        <w:rPr>
          <w:rFonts w:hAnsi="宋体"/>
          <w:szCs w:val="21"/>
        </w:rPr>
      </w:pPr>
      <w:r>
        <w:rPr>
          <w:rFonts w:hint="eastAsia" w:hAnsi="宋体"/>
          <w:szCs w:val="21"/>
        </w:rPr>
        <w:t>由授权的负责人确认在其进行检测的当时，液货舱、分割舱室或容器已经按照特定的目的除气而签发的证书。</w:t>
      </w:r>
    </w:p>
    <w:p>
      <w:pPr>
        <w:pStyle w:val="46"/>
        <w:spacing w:before="120" w:after="120" w:line="360" w:lineRule="auto"/>
        <w:jc w:val="both"/>
        <w:rPr>
          <w:rFonts w:hAnsi="黑体"/>
        </w:rPr>
      </w:pPr>
      <w:bookmarkStart w:id="63" w:name="_Toc464089334"/>
      <w:bookmarkStart w:id="64" w:name="_Toc513394635"/>
      <w:bookmarkStart w:id="65" w:name="_Toc513731857"/>
      <w:bookmarkStart w:id="66" w:name="_Toc513731973"/>
    </w:p>
    <w:p>
      <w:pPr>
        <w:pStyle w:val="24"/>
        <w:spacing w:line="360" w:lineRule="auto"/>
        <w:ind w:firstLine="422"/>
        <w:rPr>
          <w:rFonts w:hAnsi="黑体"/>
          <w:b/>
        </w:rPr>
      </w:pPr>
      <w:r>
        <w:rPr>
          <w:rFonts w:hint="eastAsia" w:ascii="黑体" w:hAnsi="黑体" w:eastAsia="黑体"/>
          <w:b/>
        </w:rPr>
        <w:t xml:space="preserve">驱气 </w:t>
      </w:r>
      <w:r>
        <w:rPr>
          <w:rFonts w:ascii="黑体" w:hAnsi="黑体" w:eastAsia="黑体"/>
          <w:b/>
        </w:rPr>
        <w:t>p</w:t>
      </w:r>
      <w:r>
        <w:rPr>
          <w:rFonts w:hint="eastAsia" w:ascii="黑体" w:hAnsi="黑体" w:eastAsia="黑体"/>
          <w:b/>
        </w:rPr>
        <w:t>urging</w:t>
      </w:r>
      <w:bookmarkEnd w:id="63"/>
      <w:bookmarkEnd w:id="64"/>
      <w:bookmarkEnd w:id="65"/>
      <w:bookmarkEnd w:id="66"/>
    </w:p>
    <w:p>
      <w:pPr>
        <w:pStyle w:val="24"/>
        <w:spacing w:line="360" w:lineRule="auto"/>
        <w:rPr>
          <w:rFonts w:hAnsi="宋体"/>
          <w:szCs w:val="21"/>
        </w:rPr>
      </w:pPr>
      <w:r>
        <w:rPr>
          <w:rFonts w:hint="eastAsia" w:hAnsi="宋体"/>
          <w:szCs w:val="21"/>
        </w:rPr>
        <w:t>向已经惰化的液货舱通入惰性气体，降低舱内现有的碳氢化合物含量，使之达到即使接着向货舱通入空气也不能维持燃烧的水平以下的作业。</w:t>
      </w:r>
    </w:p>
    <w:p>
      <w:pPr>
        <w:pStyle w:val="46"/>
        <w:spacing w:before="120" w:after="120" w:line="360" w:lineRule="auto"/>
        <w:jc w:val="both"/>
        <w:rPr>
          <w:rFonts w:hAnsi="黑体"/>
        </w:rPr>
      </w:pPr>
      <w:bookmarkStart w:id="67" w:name="_Toc513394637"/>
      <w:bookmarkStart w:id="68" w:name="_Toc513731859"/>
      <w:bookmarkStart w:id="69" w:name="_Toc513731975"/>
    </w:p>
    <w:p>
      <w:pPr>
        <w:pStyle w:val="24"/>
        <w:spacing w:line="360" w:lineRule="auto"/>
        <w:ind w:firstLine="422"/>
        <w:rPr>
          <w:rFonts w:hAnsi="黑体"/>
          <w:b/>
        </w:rPr>
      </w:pPr>
      <w:r>
        <w:rPr>
          <w:rFonts w:hint="eastAsia" w:ascii="黑体" w:hAnsi="黑体" w:eastAsia="黑体"/>
          <w:b/>
        </w:rPr>
        <w:t xml:space="preserve">可燃下限 </w:t>
      </w:r>
      <w:r>
        <w:rPr>
          <w:rFonts w:ascii="黑体" w:hAnsi="黑体" w:eastAsia="黑体"/>
          <w:b/>
        </w:rPr>
        <w:t>l</w:t>
      </w:r>
      <w:r>
        <w:rPr>
          <w:rFonts w:hint="eastAsia" w:ascii="黑体" w:hAnsi="黑体" w:eastAsia="黑体"/>
          <w:b/>
        </w:rPr>
        <w:t>o</w:t>
      </w:r>
      <w:r>
        <w:rPr>
          <w:rFonts w:ascii="黑体" w:hAnsi="黑体" w:eastAsia="黑体"/>
          <w:b/>
        </w:rPr>
        <w:t>wer flammable limit(LFL)</w:t>
      </w:r>
      <w:bookmarkEnd w:id="67"/>
      <w:bookmarkEnd w:id="68"/>
      <w:bookmarkEnd w:id="69"/>
    </w:p>
    <w:p>
      <w:pPr>
        <w:pStyle w:val="24"/>
        <w:spacing w:line="360" w:lineRule="auto"/>
        <w:rPr>
          <w:rFonts w:hAnsi="宋体"/>
          <w:szCs w:val="21"/>
        </w:rPr>
      </w:pPr>
      <w:r>
        <w:rPr>
          <w:rFonts w:hint="eastAsia" w:hAnsi="宋体"/>
          <w:szCs w:val="21"/>
        </w:rPr>
        <w:t>空气中的烃气含量低到所存在的烃气不足以供给和传播燃烧时的烃气浓度。</w:t>
      </w:r>
    </w:p>
    <w:p>
      <w:pPr>
        <w:pStyle w:val="46"/>
        <w:spacing w:before="120" w:after="120" w:line="360" w:lineRule="auto"/>
        <w:jc w:val="both"/>
        <w:rPr>
          <w:rFonts w:hAnsi="黑体"/>
        </w:rPr>
      </w:pPr>
      <w:bookmarkStart w:id="70" w:name="_Toc513394638"/>
      <w:bookmarkStart w:id="71" w:name="_Toc513731860"/>
      <w:bookmarkStart w:id="72" w:name="_Toc513731976"/>
    </w:p>
    <w:p>
      <w:pPr>
        <w:pStyle w:val="24"/>
        <w:spacing w:line="360" w:lineRule="auto"/>
        <w:ind w:firstLine="422"/>
        <w:rPr>
          <w:rFonts w:hAnsi="黑体"/>
          <w:b/>
        </w:rPr>
      </w:pPr>
      <w:r>
        <w:rPr>
          <w:rFonts w:hint="eastAsia" w:ascii="黑体" w:hAnsi="黑体" w:eastAsia="黑体"/>
          <w:b/>
        </w:rPr>
        <w:t xml:space="preserve">临界限值 </w:t>
      </w:r>
      <w:r>
        <w:rPr>
          <w:rFonts w:ascii="黑体" w:hAnsi="黑体" w:eastAsia="黑体"/>
          <w:b/>
        </w:rPr>
        <w:t>t</w:t>
      </w:r>
      <w:r>
        <w:rPr>
          <w:rFonts w:hint="eastAsia" w:ascii="黑体" w:hAnsi="黑体" w:eastAsia="黑体"/>
          <w:b/>
        </w:rPr>
        <w:t>hreshold limit value(TLV)</w:t>
      </w:r>
      <w:bookmarkEnd w:id="70"/>
      <w:bookmarkEnd w:id="71"/>
      <w:bookmarkEnd w:id="72"/>
    </w:p>
    <w:p>
      <w:pPr>
        <w:pStyle w:val="24"/>
        <w:spacing w:line="360" w:lineRule="auto"/>
        <w:rPr>
          <w:rFonts w:hAnsi="宋体"/>
          <w:szCs w:val="21"/>
        </w:rPr>
      </w:pPr>
      <w:r>
        <w:rPr>
          <w:rFonts w:hint="eastAsia" w:hAnsi="宋体"/>
          <w:szCs w:val="21"/>
        </w:rPr>
        <w:t>反复暴露于某种物质环境中并对人体没有不良影响的该种物质在空气中浓度的最大值。</w:t>
      </w:r>
    </w:p>
    <w:p>
      <w:pPr>
        <w:pStyle w:val="46"/>
        <w:spacing w:before="120" w:after="120" w:line="360" w:lineRule="auto"/>
        <w:jc w:val="both"/>
        <w:rPr>
          <w:rFonts w:hAnsi="黑体"/>
        </w:rPr>
      </w:pPr>
      <w:bookmarkStart w:id="73" w:name="_Toc513394639"/>
      <w:bookmarkStart w:id="74" w:name="_Toc513731861"/>
      <w:bookmarkStart w:id="75" w:name="_Toc513731977"/>
    </w:p>
    <w:p>
      <w:pPr>
        <w:pStyle w:val="24"/>
        <w:spacing w:line="360" w:lineRule="auto"/>
        <w:ind w:firstLine="422"/>
        <w:rPr>
          <w:rFonts w:hAnsi="黑体"/>
          <w:b/>
        </w:rPr>
      </w:pPr>
      <w:r>
        <w:rPr>
          <w:rFonts w:hint="eastAsia" w:ascii="黑体" w:hAnsi="黑体" w:eastAsia="黑体"/>
          <w:b/>
        </w:rPr>
        <w:t xml:space="preserve">时间加权平均浓度 </w:t>
      </w:r>
      <w:r>
        <w:rPr>
          <w:rFonts w:ascii="黑体" w:hAnsi="黑体" w:eastAsia="黑体"/>
          <w:b/>
        </w:rPr>
        <w:t>threshold limit value</w:t>
      </w:r>
      <w:r>
        <w:rPr>
          <w:rFonts w:hint="eastAsia" w:ascii="黑体" w:hAnsi="黑体" w:eastAsia="黑体"/>
          <w:b/>
        </w:rPr>
        <w:t>-Time weighting average(TLV-TWA)</w:t>
      </w:r>
      <w:bookmarkEnd w:id="73"/>
      <w:bookmarkEnd w:id="74"/>
      <w:bookmarkEnd w:id="75"/>
    </w:p>
    <w:p>
      <w:pPr>
        <w:pStyle w:val="24"/>
        <w:spacing w:line="360" w:lineRule="auto"/>
        <w:rPr>
          <w:rFonts w:hAnsi="宋体"/>
          <w:szCs w:val="21"/>
        </w:rPr>
      </w:pPr>
      <w:r>
        <w:rPr>
          <w:rFonts w:hint="eastAsia" w:hAnsi="宋体"/>
          <w:szCs w:val="21"/>
        </w:rPr>
        <w:t>在8小时的全部时间中，空气中毒性物质的平均浓度。</w:t>
      </w:r>
    </w:p>
    <w:p>
      <w:pPr>
        <w:pStyle w:val="46"/>
        <w:spacing w:before="120" w:after="120" w:line="360" w:lineRule="auto"/>
        <w:jc w:val="both"/>
        <w:rPr>
          <w:rFonts w:hAnsi="黑体"/>
        </w:rPr>
      </w:pPr>
      <w:bookmarkStart w:id="76" w:name="_Toc513394640"/>
      <w:bookmarkStart w:id="77" w:name="_Toc513731862"/>
      <w:bookmarkStart w:id="78" w:name="_Toc513731978"/>
    </w:p>
    <w:p>
      <w:pPr>
        <w:pStyle w:val="24"/>
        <w:spacing w:line="360" w:lineRule="auto"/>
        <w:ind w:firstLine="422"/>
        <w:rPr>
          <w:rFonts w:hAnsi="黑体"/>
          <w:b/>
        </w:rPr>
      </w:pPr>
      <w:r>
        <w:rPr>
          <w:rFonts w:hint="eastAsia" w:ascii="黑体" w:hAnsi="黑体" w:eastAsia="黑体"/>
          <w:b/>
        </w:rPr>
        <w:t xml:space="preserve">物质安全资料表 </w:t>
      </w:r>
      <w:r>
        <w:rPr>
          <w:rFonts w:ascii="黑体" w:hAnsi="黑体" w:eastAsia="黑体"/>
          <w:b/>
        </w:rPr>
        <w:t>m</w:t>
      </w:r>
      <w:r>
        <w:rPr>
          <w:rFonts w:hint="eastAsia" w:ascii="黑体" w:hAnsi="黑体" w:eastAsia="黑体"/>
          <w:b/>
        </w:rPr>
        <w:t>aterial safety data sheet(MSDS)</w:t>
      </w:r>
      <w:bookmarkEnd w:id="76"/>
      <w:bookmarkEnd w:id="77"/>
      <w:bookmarkEnd w:id="78"/>
    </w:p>
    <w:p>
      <w:pPr>
        <w:pStyle w:val="24"/>
        <w:spacing w:line="360" w:lineRule="auto"/>
        <w:rPr>
          <w:rFonts w:hAnsi="宋体"/>
          <w:szCs w:val="21"/>
        </w:rPr>
      </w:pPr>
      <w:r>
        <w:rPr>
          <w:rFonts w:hint="eastAsia" w:hAnsi="宋体"/>
          <w:szCs w:val="21"/>
        </w:rPr>
        <w:t>明确物质及其所有组成成分的文件，为接收者提供安全管理该物质的所有必要资料。</w:t>
      </w:r>
    </w:p>
    <w:p>
      <w:pPr>
        <w:pStyle w:val="88"/>
        <w:spacing w:before="240" w:after="240" w:line="360" w:lineRule="auto"/>
        <w:rPr>
          <w:rFonts w:hAnsi="黑体"/>
          <w:szCs w:val="21"/>
        </w:rPr>
      </w:pPr>
      <w:bookmarkStart w:id="79" w:name="_Toc513394641"/>
      <w:bookmarkStart w:id="80" w:name="_Toc513731863"/>
      <w:bookmarkStart w:id="81" w:name="_Toc513731979"/>
      <w:bookmarkStart w:id="82" w:name="_Toc513732006"/>
      <w:bookmarkStart w:id="83" w:name="_Toc513734082"/>
      <w:r>
        <w:rPr>
          <w:rFonts w:hint="eastAsia" w:hAnsi="黑体"/>
          <w:szCs w:val="21"/>
        </w:rPr>
        <w:t>一般要求</w:t>
      </w:r>
      <w:bookmarkEnd w:id="79"/>
      <w:bookmarkEnd w:id="80"/>
      <w:bookmarkEnd w:id="81"/>
      <w:bookmarkEnd w:id="82"/>
      <w:bookmarkEnd w:id="83"/>
    </w:p>
    <w:p>
      <w:pPr>
        <w:pStyle w:val="46"/>
        <w:spacing w:before="120" w:after="120" w:line="360" w:lineRule="auto"/>
        <w:jc w:val="both"/>
        <w:rPr>
          <w:rFonts w:hAnsi="黑体"/>
        </w:rPr>
      </w:pPr>
      <w:bookmarkStart w:id="84" w:name="_Toc464089338"/>
      <w:bookmarkStart w:id="85" w:name="_Toc513394642"/>
      <w:bookmarkStart w:id="86" w:name="_Toc513731864"/>
      <w:bookmarkStart w:id="87" w:name="_Toc513731980"/>
      <w:r>
        <w:rPr>
          <w:rFonts w:hint="eastAsia" w:hAnsi="黑体"/>
        </w:rPr>
        <w:t>作业船舶</w:t>
      </w:r>
      <w:bookmarkEnd w:id="84"/>
      <w:bookmarkEnd w:id="85"/>
      <w:bookmarkEnd w:id="86"/>
      <w:bookmarkEnd w:id="87"/>
    </w:p>
    <w:p>
      <w:pPr>
        <w:pStyle w:val="24"/>
        <w:spacing w:line="360" w:lineRule="auto"/>
        <w:rPr>
          <w:rFonts w:hAnsi="宋体"/>
        </w:rPr>
      </w:pPr>
      <w:bookmarkStart w:id="88" w:name="_Toc513731865"/>
      <w:r>
        <w:rPr>
          <w:rFonts w:hint="eastAsia" w:hAnsi="宋体"/>
        </w:rPr>
        <w:t>从事洗舱作业的油船应持有有效船舶证书，并处于适航和适载状态。</w:t>
      </w:r>
      <w:bookmarkEnd w:id="88"/>
    </w:p>
    <w:p>
      <w:pPr>
        <w:pStyle w:val="46"/>
        <w:spacing w:before="120" w:after="120" w:line="360" w:lineRule="auto"/>
        <w:jc w:val="both"/>
        <w:rPr>
          <w:rFonts w:hAnsi="黑体"/>
        </w:rPr>
      </w:pPr>
      <w:bookmarkStart w:id="89" w:name="_Toc464089339"/>
      <w:bookmarkStart w:id="90" w:name="_Toc513394643"/>
      <w:bookmarkStart w:id="91" w:name="_Toc513731867"/>
      <w:bookmarkStart w:id="92" w:name="_Toc513731981"/>
      <w:r>
        <w:rPr>
          <w:rFonts w:hint="eastAsia" w:hAnsi="黑体"/>
        </w:rPr>
        <w:t>作业设备</w:t>
      </w:r>
      <w:bookmarkEnd w:id="89"/>
      <w:bookmarkEnd w:id="90"/>
      <w:bookmarkEnd w:id="91"/>
      <w:bookmarkEnd w:id="92"/>
    </w:p>
    <w:p>
      <w:pPr>
        <w:pStyle w:val="45"/>
        <w:spacing w:before="120" w:after="120"/>
      </w:pPr>
      <w:r>
        <w:rPr>
          <w:rFonts w:hint="eastAsia"/>
        </w:rPr>
        <w:t>检验证书</w:t>
      </w:r>
    </w:p>
    <w:p>
      <w:pPr>
        <w:pStyle w:val="24"/>
      </w:pPr>
      <w:r>
        <w:rPr>
          <w:rFonts w:hint="eastAsia"/>
        </w:rPr>
        <w:t>从事洗舱作业的设备应具有有效检验证书。</w:t>
      </w:r>
    </w:p>
    <w:p>
      <w:pPr>
        <w:pStyle w:val="45"/>
        <w:spacing w:before="120" w:after="120"/>
      </w:pPr>
      <w:bookmarkStart w:id="93" w:name="_Toc513731869"/>
      <w:r>
        <w:rPr>
          <w:rFonts w:hint="eastAsia"/>
        </w:rPr>
        <w:t>移动式洗舱机及其连接软管</w:t>
      </w:r>
      <w:bookmarkEnd w:id="93"/>
    </w:p>
    <w:p>
      <w:pPr>
        <w:pStyle w:val="44"/>
        <w:numPr>
          <w:ilvl w:val="3"/>
          <w:numId w:val="2"/>
        </w:numPr>
        <w:spacing w:before="120" w:after="120" w:line="360" w:lineRule="auto"/>
        <w:jc w:val="both"/>
        <w:rPr>
          <w:rFonts w:ascii="宋体" w:hAnsi="宋体" w:eastAsia="宋体"/>
        </w:rPr>
      </w:pPr>
      <w:r>
        <w:rPr>
          <w:rFonts w:hint="eastAsia" w:ascii="宋体" w:hAnsi="宋体" w:eastAsia="宋体"/>
        </w:rPr>
        <w:t>移动式洗舱机的外壳材质与油舱内部结构接触时应不致引起火花。</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软管的连接法兰应将洗舱机、软管和固定的洗舱水供应管线有效连接。</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应使用外接的连接电线，将洗舱机同洗舱水管导电连接。</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洗舱机伸入舱内时，应用防静电绳索撑挂，不应使连接软管受力。</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同时使用固定式和移动式洗舱机时，移动软管上应并入导电电线以确保其导电连续性。各接头和法兰连接处应设置静电跨接线。软管上应有永久标记以便于识别。应记录测试其导电性能的日期和结果。</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洗舱软管应在使用前，检测所有将同洗舱机连接的软管在干燥条件下的导电性。在任何情况下，其每米长度电阻不得超过</w:t>
      </w:r>
      <w:r>
        <w:rPr>
          <w:rFonts w:ascii="新宋体" w:hAnsi="新宋体" w:eastAsia="新宋体"/>
        </w:rPr>
        <w:t>6</w:t>
      </w:r>
      <w:r>
        <w:rPr>
          <w:rFonts w:ascii="Times New Roman" w:eastAsia="宋体"/>
        </w:rPr>
        <w:t>Ω</w:t>
      </w:r>
      <w:r>
        <w:rPr>
          <w:rFonts w:hint="eastAsia" w:ascii="宋体" w:hAnsi="宋体" w:eastAsia="宋体"/>
        </w:rPr>
        <w:t>。</w:t>
      </w:r>
    </w:p>
    <w:p>
      <w:pPr>
        <w:pStyle w:val="45"/>
        <w:spacing w:before="120" w:after="120"/>
      </w:pPr>
      <w:bookmarkStart w:id="94" w:name="_Toc513731870"/>
      <w:r>
        <w:rPr>
          <w:rFonts w:hint="eastAsia"/>
        </w:rPr>
        <w:t>原油洗舱洗舱机</w:t>
      </w:r>
    </w:p>
    <w:p>
      <w:pPr>
        <w:pStyle w:val="24"/>
      </w:pPr>
      <w:r>
        <w:rPr>
          <w:rFonts w:hint="eastAsia"/>
        </w:rPr>
        <w:t>原油洗舱应使用固定安装的洗舱机。</w:t>
      </w:r>
      <w:bookmarkEnd w:id="94"/>
    </w:p>
    <w:p>
      <w:pPr>
        <w:pStyle w:val="45"/>
        <w:spacing w:before="120" w:after="120"/>
      </w:pPr>
      <w:bookmarkStart w:id="95" w:name="_Toc513731871"/>
      <w:r>
        <w:rPr>
          <w:rFonts w:hint="eastAsia"/>
        </w:rPr>
        <w:t>移动式风扇或鼓风机</w:t>
      </w:r>
      <w:bookmarkEnd w:id="95"/>
    </w:p>
    <w:p>
      <w:pPr>
        <w:pStyle w:val="44"/>
        <w:numPr>
          <w:ilvl w:val="3"/>
          <w:numId w:val="2"/>
        </w:numPr>
        <w:spacing w:before="120" w:after="120" w:line="360" w:lineRule="auto"/>
        <w:jc w:val="both"/>
        <w:rPr>
          <w:rFonts w:ascii="宋体" w:hAnsi="宋体" w:eastAsia="宋体"/>
        </w:rPr>
      </w:pPr>
      <w:r>
        <w:rPr>
          <w:rFonts w:hint="eastAsia" w:ascii="宋体" w:hAnsi="宋体" w:eastAsia="宋体"/>
        </w:rPr>
        <w:t>应使用水力、液压、气动或蒸汽驱动的移动式风扇或鼓风机。其结构材料应确保在叶轮意外触碰机壳内侧时不会引起火花危险。</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移动式风扇或鼓风机应与船体有效跨接。</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如使用蒸汽驱动的风扇或鼓风机，应注意确保乏气不会进入货舱，以防静电聚集。</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移动式风扇或鼓风机的风量和出口压力应能使受风舱室内的舱气尽快达到</w:t>
      </w:r>
      <w:r>
        <w:rPr>
          <w:rFonts w:ascii="Times New Roman" w:eastAsia="宋体"/>
        </w:rPr>
        <w:t>LFL</w:t>
      </w:r>
      <w:r>
        <w:rPr>
          <w:rFonts w:hint="eastAsia" w:ascii="宋体" w:hAnsi="宋体" w:eastAsia="宋体"/>
        </w:rPr>
        <w:t>的30%。</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为有效对货舱底部进行除气，可使用风扇延长管。若延长管使用合成材料，应确保它们有效跨接到船体。</w:t>
      </w:r>
    </w:p>
    <w:p>
      <w:pPr>
        <w:pStyle w:val="45"/>
        <w:spacing w:before="120" w:after="120"/>
      </w:pPr>
      <w:bookmarkStart w:id="96" w:name="_Toc513731872"/>
      <w:r>
        <w:rPr>
          <w:rFonts w:hint="eastAsia"/>
        </w:rPr>
        <w:t>气体检测设备</w:t>
      </w:r>
      <w:bookmarkEnd w:id="96"/>
    </w:p>
    <w:p>
      <w:pPr>
        <w:pStyle w:val="44"/>
        <w:numPr>
          <w:ilvl w:val="3"/>
          <w:numId w:val="2"/>
        </w:numPr>
        <w:spacing w:before="120" w:after="120" w:line="360" w:lineRule="auto"/>
        <w:jc w:val="both"/>
        <w:rPr>
          <w:rFonts w:ascii="宋体" w:hAnsi="宋体" w:eastAsia="宋体"/>
        </w:rPr>
      </w:pPr>
      <w:r>
        <w:rPr>
          <w:rFonts w:hint="eastAsia" w:ascii="宋体" w:hAnsi="宋体" w:eastAsia="宋体"/>
        </w:rPr>
        <w:t>应配备以下气体检测设备：</w:t>
      </w:r>
    </w:p>
    <w:p>
      <w:pPr>
        <w:pStyle w:val="24"/>
        <w:numPr>
          <w:ilvl w:val="0"/>
          <w:numId w:val="17"/>
        </w:numPr>
        <w:tabs>
          <w:tab w:val="center" w:pos="851"/>
          <w:tab w:val="clear" w:pos="4201"/>
        </w:tabs>
        <w:spacing w:line="360" w:lineRule="auto"/>
        <w:ind w:firstLineChars="0"/>
        <w:rPr>
          <w:rFonts w:hAnsi="宋体"/>
          <w:szCs w:val="21"/>
        </w:rPr>
      </w:pPr>
      <w:r>
        <w:rPr>
          <w:rFonts w:hint="eastAsia" w:hAnsi="宋体"/>
          <w:szCs w:val="21"/>
        </w:rPr>
        <w:t>能测量可燃下限(</w:t>
      </w:r>
      <w:r>
        <w:rPr>
          <w:rFonts w:ascii="Times New Roman"/>
          <w:szCs w:val="21"/>
        </w:rPr>
        <w:t>LFL</w:t>
      </w:r>
      <w:r>
        <w:rPr>
          <w:rFonts w:hint="eastAsia" w:hAnsi="宋体"/>
          <w:szCs w:val="21"/>
        </w:rPr>
        <w:t>)并以</w:t>
      </w:r>
      <w:r>
        <w:rPr>
          <w:rFonts w:ascii="Times New Roman"/>
          <w:szCs w:val="21"/>
        </w:rPr>
        <w:t>LFL</w:t>
      </w:r>
      <w:r>
        <w:rPr>
          <w:rFonts w:hint="eastAsia" w:hAnsi="宋体"/>
          <w:szCs w:val="21"/>
        </w:rPr>
        <w:t>的百分比作为读数的可燃气体指示仪；</w:t>
      </w:r>
    </w:p>
    <w:p>
      <w:pPr>
        <w:pStyle w:val="24"/>
        <w:numPr>
          <w:ilvl w:val="0"/>
          <w:numId w:val="17"/>
        </w:numPr>
        <w:tabs>
          <w:tab w:val="center" w:pos="851"/>
          <w:tab w:val="clear" w:pos="4201"/>
        </w:tabs>
        <w:spacing w:line="360" w:lineRule="auto"/>
        <w:ind w:firstLineChars="0"/>
        <w:rPr>
          <w:rFonts w:hAnsi="宋体"/>
          <w:szCs w:val="21"/>
        </w:rPr>
      </w:pPr>
      <w:r>
        <w:rPr>
          <w:rFonts w:hint="eastAsia" w:hAnsi="宋体"/>
          <w:szCs w:val="21"/>
        </w:rPr>
        <w:t>氧气分析仪；</w:t>
      </w:r>
    </w:p>
    <w:p>
      <w:pPr>
        <w:pStyle w:val="24"/>
        <w:numPr>
          <w:ilvl w:val="0"/>
          <w:numId w:val="17"/>
        </w:numPr>
        <w:tabs>
          <w:tab w:val="center" w:pos="851"/>
          <w:tab w:val="clear" w:pos="4201"/>
        </w:tabs>
        <w:spacing w:line="360" w:lineRule="auto"/>
        <w:ind w:firstLineChars="0"/>
        <w:rPr>
          <w:rFonts w:hAnsi="宋体"/>
          <w:szCs w:val="21"/>
        </w:rPr>
      </w:pPr>
      <w:r>
        <w:rPr>
          <w:rFonts w:hint="eastAsia" w:hAnsi="宋体"/>
          <w:szCs w:val="21"/>
        </w:rPr>
        <w:t>多种毒性气体检测仪器。</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气体检测设备应在作业前依照厂家说明书的要求进行校准和试验。</w:t>
      </w:r>
    </w:p>
    <w:p>
      <w:pPr>
        <w:pStyle w:val="45"/>
        <w:spacing w:before="120" w:after="120"/>
      </w:pPr>
      <w:bookmarkStart w:id="97" w:name="_Toc513731873"/>
      <w:r>
        <w:rPr>
          <w:rFonts w:hint="eastAsia"/>
        </w:rPr>
        <w:t>洗舱站(趸船)</w:t>
      </w:r>
      <w:bookmarkEnd w:id="97"/>
    </w:p>
    <w:p>
      <w:pPr>
        <w:pStyle w:val="44"/>
        <w:numPr>
          <w:ilvl w:val="3"/>
          <w:numId w:val="2"/>
        </w:numPr>
        <w:spacing w:before="120" w:after="120" w:line="360" w:lineRule="auto"/>
        <w:jc w:val="both"/>
        <w:rPr>
          <w:rFonts w:ascii="宋体" w:hAnsi="宋体" w:eastAsia="宋体"/>
        </w:rPr>
      </w:pPr>
      <w:r>
        <w:rPr>
          <w:rFonts w:hint="eastAsia" w:ascii="宋体" w:hAnsi="宋体" w:eastAsia="宋体"/>
        </w:rPr>
        <w:t>洗舱站(趸船)的护舷设施应与靠泊的待洗舱船舶绝缘。</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洗舱站(趸船)与待洗舱船舶之间的通道(如有)不应成为两者间的电气通路。</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洗舱站(趸船)与待洗舱船舶之间的连接软管应装有一个绝缘法兰或单独的一段不导电软管。</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绝缘法兰或单段不导电软管，不应因与外部金属接触而形成短路。</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绝缘法兰和不导电软管应定期测试，其电阻值应不小于1</w:t>
      </w:r>
      <w:r>
        <w:rPr>
          <w:rFonts w:ascii="宋体" w:hAnsi="宋体" w:eastAsia="宋体"/>
        </w:rPr>
        <w:t>,</w:t>
      </w:r>
      <w:r>
        <w:rPr>
          <w:rFonts w:hint="eastAsia" w:ascii="宋体" w:hAnsi="宋体" w:eastAsia="宋体"/>
        </w:rPr>
        <w:t>000</w:t>
      </w:r>
      <w:r>
        <w:rPr>
          <w:rFonts w:ascii="Times New Roman" w:eastAsia="宋体"/>
        </w:rPr>
        <w:t>Ω</w:t>
      </w:r>
      <w:r>
        <w:rPr>
          <w:rFonts w:hint="eastAsia" w:ascii="宋体" w:hAnsi="宋体" w:eastAsia="宋体"/>
        </w:rPr>
        <w:t>。</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不应使用跨接电缆连接洗舱站(趸船)和待洗舱船舶。</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金属洗舱设备(如潜水泵等)在作业前，应有效安全地与船体结构跨接,直至被拆除。</w:t>
      </w:r>
    </w:p>
    <w:p>
      <w:pPr>
        <w:pStyle w:val="46"/>
        <w:spacing w:before="120" w:after="120" w:line="360" w:lineRule="auto"/>
        <w:jc w:val="both"/>
        <w:rPr>
          <w:rFonts w:hAnsi="黑体"/>
        </w:rPr>
      </w:pPr>
      <w:bookmarkStart w:id="98" w:name="_Toc513731982"/>
      <w:bookmarkStart w:id="99" w:name="_Toc513394644"/>
      <w:bookmarkStart w:id="100" w:name="_Toc513731874"/>
      <w:bookmarkStart w:id="101" w:name="_Toc464089340"/>
      <w:r>
        <w:rPr>
          <w:rFonts w:hint="eastAsia" w:hAnsi="黑体"/>
        </w:rPr>
        <w:t>洗舱作业人员</w:t>
      </w:r>
      <w:bookmarkEnd w:id="98"/>
      <w:bookmarkEnd w:id="99"/>
      <w:bookmarkEnd w:id="100"/>
      <w:bookmarkEnd w:id="101"/>
    </w:p>
    <w:p>
      <w:pPr>
        <w:pStyle w:val="45"/>
        <w:spacing w:before="120" w:after="120" w:line="360" w:lineRule="auto"/>
        <w:jc w:val="both"/>
        <w:rPr>
          <w:rFonts w:ascii="宋体" w:hAnsi="宋体" w:eastAsia="宋体"/>
        </w:rPr>
      </w:pPr>
      <w:bookmarkStart w:id="102" w:name="_Toc513731875"/>
      <w:r>
        <w:rPr>
          <w:rFonts w:hint="eastAsia" w:ascii="宋体" w:hAnsi="宋体" w:eastAsia="宋体"/>
        </w:rPr>
        <w:t>从事洗舱作业的人员应经过培训。</w:t>
      </w:r>
      <w:bookmarkEnd w:id="102"/>
    </w:p>
    <w:p>
      <w:pPr>
        <w:pStyle w:val="45"/>
        <w:spacing w:before="120" w:after="120" w:line="360" w:lineRule="auto"/>
        <w:jc w:val="both"/>
        <w:rPr>
          <w:rFonts w:ascii="宋体" w:hAnsi="宋体" w:eastAsia="宋体"/>
        </w:rPr>
      </w:pPr>
      <w:bookmarkStart w:id="103" w:name="_Toc513731876"/>
      <w:r>
        <w:rPr>
          <w:rFonts w:hint="eastAsia" w:ascii="宋体" w:hAnsi="宋体" w:eastAsia="宋体"/>
        </w:rPr>
        <w:t>洗舱作业负责人应监督所有清洗舱作业，并在作业开始前向所有作业人员详细介绍作业计划、工作人员的岗位以及责任。</w:t>
      </w:r>
      <w:bookmarkEnd w:id="103"/>
    </w:p>
    <w:p>
      <w:pPr>
        <w:pStyle w:val="45"/>
        <w:spacing w:before="120" w:after="120" w:line="360" w:lineRule="auto"/>
        <w:jc w:val="both"/>
        <w:rPr>
          <w:rFonts w:ascii="宋体" w:hAnsi="宋体" w:eastAsia="宋体"/>
        </w:rPr>
      </w:pPr>
      <w:bookmarkStart w:id="104" w:name="_Toc513731877"/>
      <w:r>
        <w:rPr>
          <w:rFonts w:hint="eastAsia" w:ascii="宋体" w:hAnsi="宋体" w:eastAsia="宋体"/>
        </w:rPr>
        <w:t>从事原油洗舱作业的人员，应至少有6个月的油船工作经历，且从事过卸油作业，在其将要从事洗舱作业的船上接受过原油洗舱作业的指导，熟悉本船《原油洗舱操作和设备手册》的内容。</w:t>
      </w:r>
      <w:bookmarkEnd w:id="104"/>
    </w:p>
    <w:p>
      <w:pPr>
        <w:pStyle w:val="45"/>
        <w:spacing w:before="120" w:after="120" w:line="360" w:lineRule="auto"/>
        <w:jc w:val="both"/>
        <w:rPr>
          <w:rFonts w:ascii="宋体" w:hAnsi="宋体" w:eastAsia="宋体"/>
        </w:rPr>
      </w:pPr>
      <w:bookmarkStart w:id="105" w:name="_Toc513731878"/>
      <w:r>
        <w:rPr>
          <w:rFonts w:hint="eastAsia" w:ascii="宋体" w:hAnsi="宋体" w:eastAsia="宋体"/>
        </w:rPr>
        <w:t>如果船长、大副或负责货油管理的高级船员全面负责原油洗舱，则其应至少在油船上具有一年工作经历，且其职责包括卸油及原油洗舱，参加过2次原油洗舱，其中一次应在其负责卸油的船上进行，或在一艘各方面同其负责卸油的船舶类似的船上进行，完全了解《原油洗舱操作和设备手册》的内容。</w:t>
      </w:r>
      <w:bookmarkEnd w:id="105"/>
    </w:p>
    <w:p>
      <w:pPr>
        <w:pStyle w:val="45"/>
        <w:spacing w:before="120" w:after="120" w:line="360" w:lineRule="auto"/>
        <w:jc w:val="both"/>
        <w:rPr>
          <w:rFonts w:ascii="宋体" w:hAnsi="宋体" w:eastAsia="宋体"/>
        </w:rPr>
      </w:pPr>
      <w:bookmarkStart w:id="106" w:name="_Toc513731879"/>
      <w:r>
        <w:rPr>
          <w:rFonts w:hint="eastAsia" w:ascii="宋体" w:hAnsi="宋体" w:eastAsia="宋体"/>
        </w:rPr>
        <w:t>对以下船舶，船公司可指派一位具有原油洗舱经验但基本是在岸上工作的高级技术人员(不在船舶定员之内)到现场指导；或有至少参加过4次原油洗舱作业的高级船员(如船长、大副或负责货油管理的高级船员)在船上。且船上应备有用船舶驾驶员所能理解的文字写成的《原油洗舱操作和设备手册》：</w:t>
      </w:r>
      <w:bookmarkEnd w:id="106"/>
      <w:bookmarkStart w:id="107" w:name="_Toc464089341"/>
    </w:p>
    <w:p>
      <w:pPr>
        <w:pStyle w:val="24"/>
        <w:numPr>
          <w:ilvl w:val="0"/>
          <w:numId w:val="18"/>
        </w:numPr>
        <w:tabs>
          <w:tab w:val="center" w:pos="851"/>
          <w:tab w:val="clear" w:pos="4201"/>
        </w:tabs>
        <w:spacing w:line="360" w:lineRule="auto"/>
        <w:ind w:firstLineChars="0"/>
        <w:rPr>
          <w:rFonts w:hAnsi="宋体"/>
        </w:rPr>
      </w:pPr>
      <w:r>
        <w:rPr>
          <w:rFonts w:hint="eastAsia" w:hAnsi="宋体"/>
          <w:szCs w:val="21"/>
        </w:rPr>
        <w:t>新船；</w:t>
      </w:r>
    </w:p>
    <w:p>
      <w:pPr>
        <w:pStyle w:val="24"/>
        <w:numPr>
          <w:ilvl w:val="0"/>
          <w:numId w:val="18"/>
        </w:numPr>
        <w:tabs>
          <w:tab w:val="center" w:pos="851"/>
          <w:tab w:val="clear" w:pos="4201"/>
        </w:tabs>
        <w:spacing w:line="360" w:lineRule="auto"/>
        <w:ind w:firstLineChars="0"/>
        <w:rPr>
          <w:rFonts w:hAnsi="宋体"/>
        </w:rPr>
      </w:pPr>
      <w:r>
        <w:rPr>
          <w:rFonts w:hint="eastAsia" w:hAnsi="宋体"/>
          <w:szCs w:val="21"/>
        </w:rPr>
        <w:t>第一次改装原油的船舶；</w:t>
      </w:r>
    </w:p>
    <w:p>
      <w:pPr>
        <w:pStyle w:val="24"/>
        <w:numPr>
          <w:ilvl w:val="0"/>
          <w:numId w:val="18"/>
        </w:numPr>
        <w:tabs>
          <w:tab w:val="center" w:pos="851"/>
          <w:tab w:val="clear" w:pos="4201"/>
        </w:tabs>
        <w:spacing w:line="360" w:lineRule="auto"/>
        <w:ind w:firstLineChars="0"/>
        <w:rPr>
          <w:rFonts w:hAnsi="宋体"/>
        </w:rPr>
      </w:pPr>
      <w:r>
        <w:rPr>
          <w:rFonts w:hint="eastAsia" w:hAnsi="宋体"/>
          <w:szCs w:val="21"/>
        </w:rPr>
        <w:t>对该船东来说是新船；</w:t>
      </w:r>
    </w:p>
    <w:p>
      <w:pPr>
        <w:pStyle w:val="24"/>
        <w:numPr>
          <w:ilvl w:val="0"/>
          <w:numId w:val="18"/>
        </w:numPr>
        <w:tabs>
          <w:tab w:val="center" w:pos="851"/>
          <w:tab w:val="clear" w:pos="4201"/>
        </w:tabs>
        <w:spacing w:line="360" w:lineRule="auto"/>
        <w:ind w:firstLineChars="0"/>
        <w:rPr>
          <w:rFonts w:hAnsi="宋体"/>
        </w:rPr>
      </w:pPr>
      <w:r>
        <w:rPr>
          <w:rFonts w:hint="eastAsia" w:hAnsi="宋体"/>
          <w:szCs w:val="21"/>
        </w:rPr>
        <w:t>因改变船籍而不能得到该船洗舱经验的船舶。</w:t>
      </w:r>
    </w:p>
    <w:p>
      <w:pPr>
        <w:pStyle w:val="46"/>
        <w:spacing w:before="120" w:after="120" w:line="360" w:lineRule="auto"/>
        <w:jc w:val="both"/>
        <w:rPr>
          <w:rFonts w:hAnsi="黑体"/>
        </w:rPr>
      </w:pPr>
      <w:bookmarkStart w:id="108" w:name="_Toc513731983"/>
      <w:bookmarkStart w:id="109" w:name="_Toc513731880"/>
      <w:bookmarkStart w:id="110" w:name="_Toc513394645"/>
      <w:r>
        <w:rPr>
          <w:rFonts w:hint="eastAsia" w:hAnsi="黑体"/>
        </w:rPr>
        <w:t>洗舱作业条件</w:t>
      </w:r>
      <w:bookmarkEnd w:id="107"/>
      <w:bookmarkEnd w:id="108"/>
      <w:bookmarkEnd w:id="109"/>
      <w:bookmarkEnd w:id="110"/>
    </w:p>
    <w:p>
      <w:pPr>
        <w:pStyle w:val="45"/>
        <w:spacing w:before="120" w:after="120"/>
      </w:pPr>
      <w:bookmarkStart w:id="111" w:name="_Toc513731881"/>
      <w:r>
        <w:rPr>
          <w:rFonts w:hint="eastAsia"/>
        </w:rPr>
        <w:t>作业时间</w:t>
      </w:r>
    </w:p>
    <w:p>
      <w:pPr>
        <w:pStyle w:val="24"/>
      </w:pPr>
      <w:r>
        <w:rPr>
          <w:rFonts w:hint="eastAsia"/>
        </w:rPr>
        <w:t>洗舱作业应在日出到日落之间进行。</w:t>
      </w:r>
      <w:bookmarkEnd w:id="111"/>
    </w:p>
    <w:p>
      <w:pPr>
        <w:pStyle w:val="45"/>
        <w:spacing w:before="120" w:after="120"/>
      </w:pPr>
      <w:bookmarkStart w:id="112" w:name="_Toc513731882"/>
      <w:r>
        <w:rPr>
          <w:rFonts w:hint="eastAsia"/>
        </w:rPr>
        <w:t>气象条件</w:t>
      </w:r>
      <w:bookmarkEnd w:id="112"/>
    </w:p>
    <w:p>
      <w:pPr>
        <w:pStyle w:val="44"/>
        <w:numPr>
          <w:ilvl w:val="3"/>
          <w:numId w:val="2"/>
        </w:numPr>
        <w:spacing w:before="120" w:after="120" w:line="360" w:lineRule="auto"/>
        <w:jc w:val="both"/>
        <w:rPr>
          <w:rFonts w:ascii="宋体" w:hAnsi="宋体" w:eastAsia="宋体"/>
        </w:rPr>
      </w:pPr>
      <w:bookmarkStart w:id="113" w:name="_Toc464089342"/>
      <w:r>
        <w:rPr>
          <w:rFonts w:hint="eastAsia" w:ascii="宋体" w:hAnsi="宋体" w:eastAsia="宋体"/>
        </w:rPr>
        <w:t>避免在暴热、强降雨、冰雪、雷暴等恶劣天气进行洗舱等相关作业。</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无风时，甲板上会滞留高浓度的石油气，造成局部油气浓度过高，如果该情况持续存在，应关闭诸如舱门、舷窗等外部开口，或停止洗舱等相关作业。如果风力、风向使得烟囱的火星掉在甲板上，则应停止洗舱等相关作业，并采取封舱措施。</w:t>
      </w:r>
    </w:p>
    <w:p>
      <w:pPr>
        <w:pStyle w:val="46"/>
        <w:spacing w:before="120" w:after="120" w:line="360" w:lineRule="auto"/>
        <w:jc w:val="both"/>
        <w:rPr>
          <w:rFonts w:hAnsi="黑体"/>
        </w:rPr>
      </w:pPr>
      <w:bookmarkStart w:id="114" w:name="_Toc513394646"/>
      <w:bookmarkStart w:id="115" w:name="_Toc513731984"/>
      <w:bookmarkStart w:id="116" w:name="_Toc513731883"/>
      <w:r>
        <w:rPr>
          <w:rFonts w:hint="eastAsia" w:hAnsi="黑体"/>
        </w:rPr>
        <w:t>安全</w:t>
      </w:r>
      <w:bookmarkEnd w:id="113"/>
      <w:bookmarkEnd w:id="114"/>
      <w:bookmarkEnd w:id="115"/>
      <w:bookmarkEnd w:id="116"/>
    </w:p>
    <w:p>
      <w:pPr>
        <w:pStyle w:val="45"/>
        <w:spacing w:before="120" w:after="120"/>
      </w:pPr>
      <w:bookmarkStart w:id="117" w:name="_Toc513731884"/>
      <w:r>
        <w:rPr>
          <w:rFonts w:hint="eastAsia"/>
        </w:rPr>
        <w:t>风险管理</w:t>
      </w:r>
      <w:bookmarkEnd w:id="117"/>
    </w:p>
    <w:p>
      <w:pPr>
        <w:pStyle w:val="44"/>
        <w:numPr>
          <w:ilvl w:val="3"/>
          <w:numId w:val="2"/>
        </w:numPr>
        <w:spacing w:before="120" w:after="120" w:line="360" w:lineRule="auto"/>
        <w:jc w:val="both"/>
        <w:rPr>
          <w:rFonts w:ascii="宋体" w:hAnsi="宋体" w:eastAsia="宋体"/>
        </w:rPr>
      </w:pPr>
      <w:r>
        <w:rPr>
          <w:rFonts w:hint="eastAsia" w:ascii="宋体" w:hAnsi="宋体" w:eastAsia="宋体"/>
        </w:rPr>
        <w:t>所有清洗舱作业都应有详细的计划。制定作业计划，所有和操作有关的潜在风险应做系统化标识，进行风险评估，并采取相应的预防措施，以便使风险尽可能降低。</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制定清洗舱作业计划，首要考虑火灾/爆炸风险。应特别注意排除火灾/爆炸三要素中的空气(氧气)、火源、可燃物质(如烃气)这三个危险因素中的一个或多个要素。</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所有未惰化舱室的清洗舱操作，在清洗舱时宜保持连续的机械通风，以便有效控制舱气。</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附近发生火灾时，应立即停止清洗舱等相关作业，并采取封舱关阀等必要的安全措施。</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消防及溢油应急设备应处于随时可用状态，泡沫炮等固定系统应指向正在使用的歧管。</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应严格遵守防火、防爆、防静电的有关规定。清洗舱作业期间，作业区域内使用的通信、作业和照明工具以及作业人员着装应符合防火、防爆、防静电的作业要求和相关规定。</w:t>
      </w:r>
    </w:p>
    <w:p>
      <w:pPr>
        <w:pStyle w:val="45"/>
        <w:spacing w:before="120" w:after="120"/>
      </w:pPr>
      <w:bookmarkStart w:id="118" w:name="_Toc513731885"/>
      <w:r>
        <w:rPr>
          <w:rFonts w:hint="eastAsia"/>
        </w:rPr>
        <w:t>人员保护</w:t>
      </w:r>
      <w:bookmarkEnd w:id="118"/>
    </w:p>
    <w:p>
      <w:pPr>
        <w:pStyle w:val="44"/>
        <w:numPr>
          <w:ilvl w:val="3"/>
          <w:numId w:val="2"/>
        </w:numPr>
        <w:spacing w:before="120" w:after="120" w:line="360" w:lineRule="auto"/>
        <w:jc w:val="both"/>
        <w:rPr>
          <w:rFonts w:ascii="宋体" w:hAnsi="宋体" w:eastAsia="宋体"/>
        </w:rPr>
      </w:pPr>
      <w:r>
        <w:rPr>
          <w:rFonts w:hint="eastAsia" w:ascii="宋体" w:hAnsi="宋体" w:eastAsia="宋体"/>
        </w:rPr>
        <w:t>清洗舱作业人员应穿戴适当的防护服装和用品，至少应穿戴连体工作服或类似可遮蔽全身的服装、安全鞋、防护眼镜和安全帽。</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个人安全防护、急救器材等应准备妥当，随时可用。</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清洗舱作业期间，规定用于船员进出生活区的舱门应保持随手关闭，所有舷窗及其他进出生活区的舱门都应关闭；用于生活区的空调系统应转为内循环。</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作业期间，应合理安排作业人员的作息时间，防止人员疲劳。</w:t>
      </w:r>
    </w:p>
    <w:p>
      <w:pPr>
        <w:pStyle w:val="45"/>
        <w:spacing w:before="120" w:after="120"/>
      </w:pPr>
      <w:bookmarkStart w:id="119" w:name="_Toc513731886"/>
      <w:r>
        <w:rPr>
          <w:rFonts w:hint="eastAsia"/>
        </w:rPr>
        <w:t>警示布告</w:t>
      </w:r>
      <w:bookmarkEnd w:id="119"/>
    </w:p>
    <w:p>
      <w:pPr>
        <w:pStyle w:val="44"/>
        <w:numPr>
          <w:ilvl w:val="3"/>
          <w:numId w:val="2"/>
        </w:numPr>
        <w:spacing w:before="120" w:after="120" w:line="360" w:lineRule="auto"/>
        <w:jc w:val="both"/>
        <w:rPr>
          <w:rFonts w:ascii="宋体" w:hAnsi="宋体" w:eastAsia="宋体"/>
        </w:rPr>
      </w:pPr>
      <w:r>
        <w:rPr>
          <w:rFonts w:hint="eastAsia" w:ascii="宋体" w:hAnsi="宋体" w:eastAsia="宋体"/>
        </w:rPr>
        <w:t>清洗舱作业时，应在公共场所和主要通道张贴或悬挂警告告示。</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装备有原油洗舱设备的船舶，应在其货控室、机控室、驾驶台和布告栏处显著标识：本船洗舱管路可能充有原油，未经许可不得开启任何管路阀门。</w:t>
      </w:r>
    </w:p>
    <w:p>
      <w:pPr>
        <w:pStyle w:val="88"/>
        <w:spacing w:before="240" w:after="240" w:line="360" w:lineRule="auto"/>
        <w:rPr>
          <w:rFonts w:hAnsi="黑体"/>
          <w:szCs w:val="21"/>
        </w:rPr>
      </w:pPr>
      <w:bookmarkStart w:id="120" w:name="_Toc513394647"/>
      <w:bookmarkStart w:id="121" w:name="_Toc513731985"/>
      <w:bookmarkStart w:id="122" w:name="_Toc513734083"/>
      <w:bookmarkStart w:id="123" w:name="_Toc513732007"/>
      <w:bookmarkStart w:id="124" w:name="_Toc513731887"/>
      <w:r>
        <w:rPr>
          <w:rFonts w:hint="eastAsia" w:hAnsi="黑体"/>
          <w:szCs w:val="21"/>
        </w:rPr>
        <w:t>清洗舱</w:t>
      </w:r>
      <w:bookmarkEnd w:id="120"/>
      <w:bookmarkEnd w:id="121"/>
      <w:bookmarkEnd w:id="122"/>
      <w:bookmarkEnd w:id="123"/>
      <w:bookmarkEnd w:id="124"/>
    </w:p>
    <w:p>
      <w:pPr>
        <w:pStyle w:val="46"/>
        <w:spacing w:before="120" w:after="120" w:line="360" w:lineRule="auto"/>
        <w:jc w:val="both"/>
        <w:rPr>
          <w:rFonts w:hAnsi="黑体"/>
        </w:rPr>
      </w:pPr>
      <w:bookmarkStart w:id="125" w:name="_Toc513731888"/>
      <w:bookmarkStart w:id="126" w:name="_Toc513731986"/>
      <w:bookmarkStart w:id="127" w:name="_Toc464089344"/>
      <w:bookmarkStart w:id="128" w:name="_Toc513394648"/>
      <w:r>
        <w:rPr>
          <w:rFonts w:hint="eastAsia" w:hAnsi="黑体"/>
        </w:rPr>
        <w:t>惰化状况下的洗舱</w:t>
      </w:r>
      <w:bookmarkEnd w:id="125"/>
      <w:bookmarkEnd w:id="126"/>
      <w:bookmarkEnd w:id="127"/>
      <w:bookmarkEnd w:id="128"/>
    </w:p>
    <w:p>
      <w:pPr>
        <w:pStyle w:val="45"/>
        <w:spacing w:before="120" w:after="120" w:line="360" w:lineRule="auto"/>
        <w:jc w:val="both"/>
        <w:rPr>
          <w:rFonts w:ascii="宋体" w:hAnsi="宋体" w:eastAsia="宋体"/>
        </w:rPr>
      </w:pPr>
      <w:bookmarkStart w:id="129" w:name="_Toc513731889"/>
      <w:r>
        <w:rPr>
          <w:rFonts w:hint="eastAsia" w:ascii="宋体" w:hAnsi="宋体" w:eastAsia="宋体"/>
        </w:rPr>
        <w:t>洗舱作业前，应在舱内上下两个测点测量氧气浓度。上部测点不应低于油舱顶部1</w:t>
      </w:r>
      <w:r>
        <w:rPr>
          <w:rFonts w:ascii="Times New Roman" w:eastAsia="宋体"/>
        </w:rPr>
        <w:t xml:space="preserve"> m</w:t>
      </w:r>
      <w:r>
        <w:rPr>
          <w:rFonts w:hint="eastAsia" w:ascii="宋体" w:hAnsi="宋体" w:eastAsia="宋体"/>
        </w:rPr>
        <w:t>，下部测点应高于船底外板桁材高度，但应距液舱底部至少0.5</w:t>
      </w:r>
      <w:r>
        <w:rPr>
          <w:rFonts w:ascii="Times New Roman" w:eastAsia="宋体"/>
        </w:rPr>
        <w:t>m</w:t>
      </w:r>
      <w:r>
        <w:rPr>
          <w:rFonts w:hint="eastAsia" w:ascii="宋体" w:hAnsi="宋体" w:eastAsia="宋体"/>
        </w:rPr>
        <w:t>。各测点氧含量均不得超过8％的体积比。</w:t>
      </w:r>
      <w:bookmarkEnd w:id="129"/>
    </w:p>
    <w:p>
      <w:pPr>
        <w:pStyle w:val="45"/>
        <w:spacing w:before="120" w:after="120" w:line="360" w:lineRule="auto"/>
        <w:jc w:val="both"/>
        <w:rPr>
          <w:rFonts w:ascii="宋体" w:hAnsi="宋体" w:eastAsia="宋体"/>
        </w:rPr>
      </w:pPr>
      <w:bookmarkStart w:id="130" w:name="_Toc513731890"/>
      <w:r>
        <w:rPr>
          <w:rFonts w:hint="eastAsia" w:ascii="宋体" w:hAnsi="宋体" w:eastAsia="宋体"/>
        </w:rPr>
        <w:t>洗舱作业时，货舱内氧气浓度若大于8％或惰性气体系统发生故障时，洗舱作业应暂停，直到条件符合时才能再恢复洗舱作业。</w:t>
      </w:r>
      <w:bookmarkEnd w:id="130"/>
    </w:p>
    <w:p>
      <w:pPr>
        <w:pStyle w:val="45"/>
        <w:spacing w:before="120" w:after="120" w:line="360" w:lineRule="auto"/>
        <w:jc w:val="both"/>
        <w:rPr>
          <w:rFonts w:ascii="宋体" w:hAnsi="宋体" w:eastAsia="宋体"/>
        </w:rPr>
      </w:pPr>
      <w:bookmarkStart w:id="131" w:name="_Toc513731891"/>
      <w:r>
        <w:rPr>
          <w:rFonts w:hint="eastAsia" w:ascii="宋体" w:hAnsi="宋体" w:eastAsia="宋体"/>
        </w:rPr>
        <w:t>洗舱作业时，舱内应保持正压，以防空气侵入，如舱内压力低于980</w:t>
      </w:r>
      <w:r>
        <w:rPr>
          <w:rFonts w:ascii="Times New Roman" w:eastAsia="宋体"/>
        </w:rPr>
        <w:t>Pa</w:t>
      </w:r>
      <w:r>
        <w:rPr>
          <w:rFonts w:hint="eastAsia" w:ascii="宋体" w:hAnsi="宋体" w:eastAsia="宋体"/>
        </w:rPr>
        <w:t>应暂停洗舱作业。</w:t>
      </w:r>
      <w:bookmarkEnd w:id="131"/>
    </w:p>
    <w:p>
      <w:pPr>
        <w:pStyle w:val="46"/>
        <w:spacing w:before="120" w:after="120" w:line="360" w:lineRule="auto"/>
        <w:jc w:val="both"/>
        <w:rPr>
          <w:rFonts w:hAnsi="黑体"/>
        </w:rPr>
      </w:pPr>
      <w:bookmarkStart w:id="132" w:name="_Toc464089345"/>
      <w:bookmarkStart w:id="133" w:name="_Toc513394649"/>
      <w:bookmarkStart w:id="134" w:name="_Toc513731892"/>
      <w:bookmarkStart w:id="135" w:name="_Toc513731987"/>
      <w:r>
        <w:rPr>
          <w:rFonts w:hint="eastAsia" w:hAnsi="黑体"/>
        </w:rPr>
        <w:t>非惰化状况下的洗舱</w:t>
      </w:r>
      <w:bookmarkEnd w:id="132"/>
      <w:bookmarkEnd w:id="133"/>
      <w:bookmarkEnd w:id="134"/>
      <w:bookmarkEnd w:id="135"/>
    </w:p>
    <w:p>
      <w:pPr>
        <w:pStyle w:val="45"/>
        <w:spacing w:before="120" w:after="120"/>
      </w:pPr>
      <w:bookmarkStart w:id="136" w:name="_Toc513731893"/>
      <w:r>
        <w:rPr>
          <w:rFonts w:hint="eastAsia"/>
        </w:rPr>
        <w:t>作业前</w:t>
      </w:r>
      <w:bookmarkEnd w:id="136"/>
    </w:p>
    <w:p>
      <w:pPr>
        <w:pStyle w:val="44"/>
        <w:numPr>
          <w:ilvl w:val="3"/>
          <w:numId w:val="2"/>
        </w:numPr>
        <w:spacing w:before="120" w:after="120" w:line="360" w:lineRule="auto"/>
        <w:jc w:val="both"/>
        <w:rPr>
          <w:rFonts w:ascii="宋体" w:hAnsi="宋体" w:eastAsia="宋体"/>
        </w:rPr>
      </w:pPr>
      <w:r>
        <w:rPr>
          <w:rFonts w:hint="eastAsia" w:ascii="宋体" w:hAnsi="宋体" w:eastAsia="宋体"/>
        </w:rPr>
        <w:t>应先用水或压缩空气冲洗(扫)舱底和所有部件并将污水扫净。冲洗(扫)时应使用主货油泵和管系，或固定式下舱管系。不应使用洗舱机。</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管线系统，包括货油泵、交汇管路、卸货管路，都应用水或压缩空气冲洗(扫)。冲洗(扫)后的污油水应通过扫舱系统排干到指定的液货舱或污油舱中。</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对货舱进行通风，使舱内烃气浓度降低到</w:t>
      </w:r>
      <w:r>
        <w:rPr>
          <w:rFonts w:hint="eastAsia" w:ascii="Times New Roman" w:eastAsia="宋体"/>
        </w:rPr>
        <w:t>LFL</w:t>
      </w:r>
      <w:r>
        <w:rPr>
          <w:rFonts w:hint="eastAsia" w:ascii="宋体" w:hAnsi="宋体" w:eastAsia="宋体"/>
        </w:rPr>
        <w:t>的10％或以下。应在舱内上下两个测点测量烃气浓度。上部测点不应低于油舱顶部1 m，下部测点应高于船底外板桁材高度，但应距液舱底部至少0.5m。应特别注意烃气易聚集的位置，以及易引起燃烧的部位。</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只有在舱内烃气浓度降低到</w:t>
      </w:r>
      <w:r>
        <w:rPr>
          <w:rFonts w:hint="eastAsia" w:ascii="Times New Roman" w:eastAsia="宋体"/>
        </w:rPr>
        <w:t>LFL</w:t>
      </w:r>
      <w:r>
        <w:rPr>
          <w:rFonts w:hint="eastAsia" w:ascii="宋体" w:hAnsi="宋体" w:eastAsia="宋体"/>
        </w:rPr>
        <w:t>的10％或以下时才可开始洗舱作业。</w:t>
      </w:r>
    </w:p>
    <w:p>
      <w:pPr>
        <w:pStyle w:val="45"/>
        <w:spacing w:before="120" w:after="120"/>
      </w:pPr>
      <w:bookmarkStart w:id="137" w:name="_Toc513731894"/>
      <w:r>
        <w:rPr>
          <w:rFonts w:hint="eastAsia"/>
        </w:rPr>
        <w:t>作业中</w:t>
      </w:r>
      <w:bookmarkEnd w:id="137"/>
    </w:p>
    <w:p>
      <w:pPr>
        <w:pStyle w:val="44"/>
        <w:numPr>
          <w:ilvl w:val="3"/>
          <w:numId w:val="2"/>
        </w:numPr>
        <w:spacing w:before="120" w:after="120" w:line="360" w:lineRule="auto"/>
        <w:jc w:val="both"/>
        <w:rPr>
          <w:rFonts w:ascii="宋体" w:hAnsi="宋体" w:eastAsia="宋体"/>
        </w:rPr>
      </w:pPr>
      <w:r>
        <w:rPr>
          <w:rFonts w:hint="eastAsia" w:ascii="宋体" w:hAnsi="宋体" w:eastAsia="宋体"/>
        </w:rPr>
        <w:t>洗舱期间，应定时检测舱内烃气浓度以监控</w:t>
      </w:r>
      <w:r>
        <w:rPr>
          <w:rFonts w:hint="eastAsia" w:ascii="Times New Roman" w:eastAsia="宋体"/>
        </w:rPr>
        <w:t>LFL</w:t>
      </w:r>
      <w:r>
        <w:rPr>
          <w:rFonts w:hint="eastAsia" w:ascii="宋体" w:hAnsi="宋体" w:eastAsia="宋体"/>
        </w:rPr>
        <w:t>的百分比水平。</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读取烃气浓度数据时应暂停洗舱作业。</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洗舱过程中，宜保持机械通风。</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洗舱过程中，如无法保持机械通风，则应增加舱内烃气含量的检测频次。</w:t>
      </w:r>
    </w:p>
    <w:p>
      <w:pPr>
        <w:pStyle w:val="44"/>
        <w:numPr>
          <w:ilvl w:val="3"/>
          <w:numId w:val="2"/>
        </w:numPr>
        <w:spacing w:before="120" w:after="120" w:line="360" w:lineRule="auto"/>
        <w:jc w:val="both"/>
        <w:rPr>
          <w:rFonts w:ascii="Times New Roman" w:eastAsia="宋体"/>
        </w:rPr>
      </w:pPr>
      <w:r>
        <w:rPr>
          <w:rFonts w:hint="eastAsia" w:ascii="宋体" w:hAnsi="宋体" w:eastAsia="宋体"/>
        </w:rPr>
        <w:t>货舱内烃气含量不应超过</w:t>
      </w:r>
      <w:r>
        <w:rPr>
          <w:rFonts w:hint="eastAsia" w:ascii="Times New Roman" w:eastAsia="宋体"/>
        </w:rPr>
        <w:t>L</w:t>
      </w:r>
      <w:r>
        <w:rPr>
          <w:rFonts w:ascii="Times New Roman" w:eastAsia="宋体"/>
        </w:rPr>
        <w:t>FL</w:t>
      </w:r>
      <w:r>
        <w:rPr>
          <w:rFonts w:hint="eastAsia" w:ascii="宋体" w:hAnsi="宋体" w:eastAsia="宋体"/>
        </w:rPr>
        <w:t>的30％。当舱内任何部位发现超过此标准，应立即停止该舱的洗舱作业。</w:t>
      </w:r>
    </w:p>
    <w:p>
      <w:pPr>
        <w:pStyle w:val="44"/>
        <w:numPr>
          <w:ilvl w:val="3"/>
          <w:numId w:val="2"/>
        </w:numPr>
        <w:spacing w:before="120" w:after="120" w:line="360" w:lineRule="auto"/>
        <w:jc w:val="both"/>
        <w:rPr>
          <w:rFonts w:ascii="宋体" w:hAnsi="宋体" w:eastAsia="宋体"/>
        </w:rPr>
      </w:pPr>
      <w:r>
        <w:rPr>
          <w:rFonts w:hint="eastAsia" w:ascii="Times New Roman" w:eastAsia="宋体"/>
        </w:rPr>
        <w:t>如持续通风将货舱内烃气浓度降到LFL</w:t>
      </w:r>
      <w:r>
        <w:rPr>
          <w:rFonts w:hint="eastAsia" w:ascii="宋体" w:hAnsi="宋体" w:eastAsia="宋体"/>
        </w:rPr>
        <w:t>的</w:t>
      </w:r>
      <w:r>
        <w:rPr>
          <w:rFonts w:ascii="宋体" w:hAnsi="宋体" w:eastAsia="宋体"/>
        </w:rPr>
        <w:t>10</w:t>
      </w:r>
      <w:r>
        <w:rPr>
          <w:rFonts w:hint="eastAsia" w:ascii="宋体" w:hAnsi="宋体" w:eastAsia="宋体"/>
        </w:rPr>
        <w:t>％或以下并保持这一状况，则可恢复洗舱作业。</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如货舱有和其他舱共同的透气系统，则应隔离该舱，以防可燃气体从其他舱室进入。</w:t>
      </w:r>
    </w:p>
    <w:p>
      <w:pPr>
        <w:pStyle w:val="45"/>
        <w:spacing w:before="120" w:after="120"/>
      </w:pPr>
      <w:r>
        <w:rPr>
          <w:rFonts w:hint="eastAsia"/>
        </w:rPr>
        <w:t>风险控制</w:t>
      </w:r>
    </w:p>
    <w:p>
      <w:pPr>
        <w:pStyle w:val="44"/>
        <w:numPr>
          <w:ilvl w:val="3"/>
          <w:numId w:val="2"/>
        </w:numPr>
        <w:spacing w:before="120" w:after="120" w:line="360" w:lineRule="auto"/>
        <w:jc w:val="both"/>
        <w:rPr>
          <w:rFonts w:ascii="宋体" w:hAnsi="宋体" w:eastAsia="宋体"/>
        </w:rPr>
      </w:pPr>
      <w:r>
        <w:rPr>
          <w:rFonts w:hint="eastAsia" w:ascii="Times New Roman" w:eastAsia="宋体"/>
        </w:rPr>
        <w:t>单台洗舱机的排量不应超过</w:t>
      </w:r>
      <w:r>
        <w:rPr>
          <w:rFonts w:hint="eastAsia" w:ascii="新宋体" w:hAnsi="新宋体" w:eastAsia="新宋体"/>
        </w:rPr>
        <w:t>60</w:t>
      </w:r>
      <w:r>
        <w:rPr>
          <w:rFonts w:hint="eastAsia" w:ascii="Times New Roman" w:eastAsia="宋体"/>
        </w:rPr>
        <w:t>m</w:t>
      </w:r>
      <w:r>
        <w:rPr>
          <w:rFonts w:hint="eastAsia" w:ascii="Times New Roman" w:eastAsia="宋体"/>
          <w:vertAlign w:val="superscript"/>
        </w:rPr>
        <w:t>3</w:t>
      </w:r>
      <w:r>
        <w:rPr>
          <w:rFonts w:hint="eastAsia" w:ascii="Times New Roman" w:eastAsia="宋体"/>
        </w:rPr>
        <w:t>/h</w:t>
      </w:r>
      <w:r>
        <w:rPr>
          <w:rFonts w:hint="eastAsia" w:ascii="宋体" w:hAnsi="宋体" w:eastAsia="宋体"/>
        </w:rPr>
        <w:t>。</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进入每个货舱的洗舱水总排量，应按实际可行尽量控制在低排量，且任何情况下不应大于180 m</w:t>
      </w:r>
      <w:r>
        <w:rPr>
          <w:rFonts w:hint="eastAsia" w:ascii="宋体" w:hAnsi="宋体" w:eastAsia="宋体"/>
          <w:vertAlign w:val="superscript"/>
        </w:rPr>
        <w:t>3</w:t>
      </w:r>
      <w:r>
        <w:rPr>
          <w:rFonts w:hint="eastAsia" w:ascii="宋体" w:hAnsi="宋体" w:eastAsia="宋体"/>
        </w:rPr>
        <w:t>/h。</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不同的洗舱方式会导致不同的风险，洗舱时符合以下要求：</w:t>
      </w:r>
    </w:p>
    <w:p>
      <w:pPr>
        <w:pStyle w:val="24"/>
        <w:numPr>
          <w:ilvl w:val="0"/>
          <w:numId w:val="19"/>
        </w:numPr>
        <w:tabs>
          <w:tab w:val="center" w:pos="851"/>
          <w:tab w:val="clear" w:pos="4201"/>
        </w:tabs>
        <w:spacing w:line="360" w:lineRule="auto"/>
        <w:ind w:firstLineChars="0"/>
        <w:rPr>
          <w:rFonts w:hAnsi="宋体"/>
          <w:szCs w:val="21"/>
        </w:rPr>
      </w:pPr>
      <w:r>
        <w:rPr>
          <w:rFonts w:hint="eastAsia" w:hAnsi="宋体"/>
          <w:szCs w:val="21"/>
        </w:rPr>
        <w:t>不应使用洗舱后的水再循环洗舱；</w:t>
      </w:r>
    </w:p>
    <w:p>
      <w:pPr>
        <w:pStyle w:val="24"/>
        <w:numPr>
          <w:ilvl w:val="0"/>
          <w:numId w:val="19"/>
        </w:numPr>
        <w:tabs>
          <w:tab w:val="center" w:pos="851"/>
          <w:tab w:val="clear" w:pos="4201"/>
        </w:tabs>
        <w:spacing w:line="360" w:lineRule="auto"/>
        <w:ind w:firstLineChars="0"/>
        <w:rPr>
          <w:rFonts w:hAnsi="宋体"/>
          <w:szCs w:val="21"/>
        </w:rPr>
      </w:pPr>
      <w:r>
        <w:rPr>
          <w:rFonts w:hint="eastAsia" w:hAnsi="宋体"/>
          <w:szCs w:val="21"/>
        </w:rPr>
        <w:t>洗舱水可以加热。但舱内烃气含量超过LFL的30％时应停止洗舱。对于低闪点货油，只有在采用冷水洗舱程序清洗舱室一个循环后(从顶至底)，才可采用热水洗舱；</w:t>
      </w:r>
    </w:p>
    <w:p>
      <w:pPr>
        <w:pStyle w:val="24"/>
        <w:numPr>
          <w:ilvl w:val="0"/>
          <w:numId w:val="19"/>
        </w:numPr>
        <w:tabs>
          <w:tab w:val="center" w:pos="851"/>
          <w:tab w:val="clear" w:pos="4201"/>
        </w:tabs>
        <w:spacing w:line="360" w:lineRule="auto"/>
        <w:ind w:firstLineChars="0"/>
        <w:rPr>
          <w:rFonts w:hAnsi="宋体"/>
          <w:szCs w:val="21"/>
        </w:rPr>
      </w:pPr>
      <w:r>
        <w:rPr>
          <w:rFonts w:hint="eastAsia" w:hAnsi="宋体"/>
          <w:szCs w:val="21"/>
        </w:rPr>
        <w:t>如洗舱水温度超过60</w:t>
      </w:r>
      <w:r>
        <w:rPr>
          <w:rFonts w:hint="eastAsia" w:hAnsi="宋体" w:cs="宋体"/>
          <w:szCs w:val="21"/>
        </w:rPr>
        <w:t>℃</w:t>
      </w:r>
      <w:r>
        <w:rPr>
          <w:rFonts w:hint="eastAsia" w:hAnsi="宋体"/>
          <w:szCs w:val="21"/>
        </w:rPr>
        <w:t>, 应增加检测舱内烃气的频率；</w:t>
      </w:r>
    </w:p>
    <w:p>
      <w:pPr>
        <w:pStyle w:val="24"/>
        <w:numPr>
          <w:ilvl w:val="0"/>
          <w:numId w:val="19"/>
        </w:numPr>
        <w:tabs>
          <w:tab w:val="center" w:pos="851"/>
          <w:tab w:val="clear" w:pos="4201"/>
        </w:tabs>
        <w:spacing w:line="360" w:lineRule="auto"/>
        <w:ind w:firstLineChars="0"/>
        <w:rPr>
          <w:rFonts w:hAnsi="宋体"/>
          <w:szCs w:val="21"/>
        </w:rPr>
      </w:pPr>
      <w:r>
        <w:rPr>
          <w:rFonts w:hint="eastAsia" w:hAnsi="宋体"/>
          <w:szCs w:val="21"/>
        </w:rPr>
        <w:t>只有在洗舱水不超过60</w:t>
      </w:r>
      <w:r>
        <w:rPr>
          <w:rFonts w:hint="eastAsia" w:hAnsi="宋体" w:cs="宋体"/>
          <w:szCs w:val="21"/>
        </w:rPr>
        <w:t>℃</w:t>
      </w:r>
      <w:r>
        <w:rPr>
          <w:rFonts w:hint="eastAsia" w:hAnsi="宋体"/>
          <w:szCs w:val="21"/>
        </w:rPr>
        <w:t>的情况下，才可考虑使用化学添加剂；</w:t>
      </w:r>
    </w:p>
    <w:p>
      <w:pPr>
        <w:pStyle w:val="24"/>
        <w:numPr>
          <w:ilvl w:val="0"/>
          <w:numId w:val="19"/>
        </w:numPr>
        <w:tabs>
          <w:tab w:val="center" w:pos="851"/>
          <w:tab w:val="clear" w:pos="4201"/>
        </w:tabs>
        <w:spacing w:line="360" w:lineRule="auto"/>
        <w:ind w:firstLineChars="0"/>
        <w:rPr>
          <w:rFonts w:hAnsi="宋体"/>
          <w:szCs w:val="21"/>
        </w:rPr>
      </w:pPr>
      <w:r>
        <w:rPr>
          <w:rFonts w:hint="eastAsia" w:hAnsi="宋体"/>
          <w:szCs w:val="21"/>
        </w:rPr>
        <w:t>不应将蒸汽注入未经确认已除气的货舱。</w:t>
      </w:r>
      <w:r>
        <w:rPr>
          <w:rFonts w:hAnsi="宋体"/>
          <w:szCs w:val="21"/>
        </w:rPr>
        <w:t xml:space="preserve"> </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洗舱过程中，应保持舱底排净。舱底如有积水，应暂停冲洗，以待排净。</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无论何时，洗舱水接收舱或污油舱的水位均不得高于该舱最大舱容对应的液位高度。</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如果使用移动式洗舱机，应检测其软管的连接是否牢固。如果货舱内的烃气浓度没有降到</w:t>
      </w:r>
      <w:r>
        <w:rPr>
          <w:rFonts w:ascii="Times New Roman" w:eastAsia="宋体"/>
        </w:rPr>
        <w:t>LFL</w:t>
      </w:r>
      <w:r>
        <w:rPr>
          <w:rFonts w:hint="eastAsia" w:ascii="宋体" w:hAnsi="宋体" w:eastAsia="宋体"/>
        </w:rPr>
        <w:t>的10％ 或更低，不得将洗舱机放入货舱。洗舱机从舱内取出前，不得拆除连接软管。为了放出软管中的存水，可将软管接头部位松开，但要在取出洗舱机之前应重新将其上紧。</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应通过</w:t>
      </w:r>
      <w:bookmarkStart w:id="138" w:name="OLE_LINK3"/>
      <w:r>
        <w:rPr>
          <w:rFonts w:hint="eastAsia" w:ascii="宋体" w:hAnsi="宋体" w:eastAsia="宋体"/>
        </w:rPr>
        <w:t>深入货舱舱底的量油管</w:t>
      </w:r>
      <w:bookmarkEnd w:id="138"/>
      <w:r>
        <w:rPr>
          <w:rFonts w:hint="eastAsia" w:ascii="宋体" w:hAnsi="宋体" w:eastAsia="宋体"/>
        </w:rPr>
        <w:t>将量油棒或其它量油设备放入货舱。如果没有深入货舱舱底的量油管，就应在吊放入舱前将量油棒或其它量油设备的金属部分加以跨接并与船体可靠连接，并在取出前保持连接状态。这些预防措施应在洗舱过程中和洗舱完成后5小时内一直予以遵循，以有足够的时间使任何带有静电的雾气消散。如果洗舱后一直保持油舱机械通风，则该过程可以缩短为1小时。在此期间应注意：</w:t>
      </w:r>
    </w:p>
    <w:p>
      <w:pPr>
        <w:pStyle w:val="24"/>
        <w:numPr>
          <w:ilvl w:val="0"/>
          <w:numId w:val="20"/>
        </w:numPr>
        <w:tabs>
          <w:tab w:val="center" w:pos="851"/>
          <w:tab w:val="clear" w:pos="4201"/>
        </w:tabs>
        <w:spacing w:line="360" w:lineRule="auto"/>
        <w:ind w:left="851" w:hanging="371" w:firstLineChars="0"/>
        <w:rPr>
          <w:rFonts w:hAnsi="宋体"/>
          <w:szCs w:val="21"/>
        </w:rPr>
      </w:pPr>
      <w:r>
        <w:rPr>
          <w:rFonts w:hint="eastAsia" w:hAnsi="宋体"/>
          <w:szCs w:val="21"/>
        </w:rPr>
        <w:t>如采用金属夹具或螺丝接地，可使用金属材质的油水界面仪及一端带有金属棒的金属材质的量油尺；</w:t>
      </w:r>
    </w:p>
    <w:p>
      <w:pPr>
        <w:pStyle w:val="24"/>
        <w:numPr>
          <w:ilvl w:val="0"/>
          <w:numId w:val="20"/>
        </w:numPr>
        <w:tabs>
          <w:tab w:val="center" w:pos="851"/>
          <w:tab w:val="clear" w:pos="4201"/>
        </w:tabs>
        <w:spacing w:line="360" w:lineRule="auto"/>
        <w:ind w:left="851" w:hanging="371" w:firstLineChars="0"/>
        <w:rPr>
          <w:rFonts w:hAnsi="宋体"/>
          <w:szCs w:val="21"/>
        </w:rPr>
      </w:pPr>
      <w:r>
        <w:rPr>
          <w:rFonts w:hint="eastAsia" w:hAnsi="宋体"/>
          <w:szCs w:val="21"/>
        </w:rPr>
        <w:t>不应将金属材质量油棒系在纤维绳上使用。即使将绳的另一端系在船体上也不允许。因为纤维绳不会形成接地回路；</w:t>
      </w:r>
    </w:p>
    <w:p>
      <w:pPr>
        <w:pStyle w:val="24"/>
        <w:numPr>
          <w:ilvl w:val="0"/>
          <w:numId w:val="20"/>
        </w:numPr>
        <w:tabs>
          <w:tab w:val="center" w:pos="851"/>
          <w:tab w:val="clear" w:pos="4201"/>
        </w:tabs>
        <w:spacing w:line="360" w:lineRule="auto"/>
        <w:ind w:left="851" w:hanging="371" w:firstLineChars="0"/>
        <w:rPr>
          <w:rFonts w:hAnsi="宋体"/>
          <w:szCs w:val="21"/>
        </w:rPr>
      </w:pPr>
      <w:r>
        <w:rPr>
          <w:rFonts w:hint="eastAsia" w:hAnsi="宋体"/>
          <w:szCs w:val="21"/>
        </w:rPr>
        <w:t>通常可使用全部是非金属材质的量油器具。例如，木质的量油棒加上天然纤维的细绳，可免除接地；</w:t>
      </w:r>
    </w:p>
    <w:p>
      <w:pPr>
        <w:pStyle w:val="24"/>
        <w:numPr>
          <w:ilvl w:val="0"/>
          <w:numId w:val="20"/>
        </w:numPr>
        <w:tabs>
          <w:tab w:val="center" w:pos="851"/>
          <w:tab w:val="clear" w:pos="4201"/>
        </w:tabs>
        <w:spacing w:line="360" w:lineRule="auto"/>
        <w:ind w:firstLineChars="0"/>
        <w:rPr>
          <w:rFonts w:hAnsi="宋体"/>
          <w:szCs w:val="21"/>
        </w:rPr>
      </w:pPr>
      <w:r>
        <w:rPr>
          <w:rFonts w:hint="eastAsia" w:hAnsi="宋体"/>
          <w:szCs w:val="21"/>
        </w:rPr>
        <w:t>不应使用化学纤维的细绳将器具送入货舱。</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应采取措施防止因机械设备损坏而引起的火花，如洗舱机、量油设备等。</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应采取预防措施减少机械设备产生火花的风险，如送入舱内手动工具、测量棒、取样桶等金属物件。</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不应使用非本质安全型设备，如：手电筒、观察灯、移动电话、对讲机、手提电脑等。</w:t>
      </w:r>
    </w:p>
    <w:p>
      <w:pPr>
        <w:pStyle w:val="46"/>
        <w:spacing w:before="120" w:after="120" w:line="360" w:lineRule="auto"/>
        <w:jc w:val="both"/>
        <w:rPr>
          <w:rFonts w:hAnsi="黑体"/>
        </w:rPr>
      </w:pPr>
      <w:bookmarkStart w:id="139" w:name="_Toc513394650"/>
      <w:bookmarkStart w:id="140" w:name="_Toc513731896"/>
      <w:bookmarkStart w:id="141" w:name="_Toc513731988"/>
      <w:r>
        <w:rPr>
          <w:rFonts w:hint="eastAsia" w:hAnsi="黑体"/>
        </w:rPr>
        <w:t>特种清舱方法</w:t>
      </w:r>
      <w:bookmarkEnd w:id="139"/>
      <w:bookmarkEnd w:id="140"/>
      <w:bookmarkEnd w:id="141"/>
    </w:p>
    <w:p>
      <w:pPr>
        <w:pStyle w:val="45"/>
        <w:spacing w:before="120" w:after="120"/>
      </w:pPr>
      <w:r>
        <w:rPr>
          <w:rFonts w:hint="eastAsia"/>
        </w:rPr>
        <w:t>概述</w:t>
      </w:r>
    </w:p>
    <w:p>
      <w:pPr>
        <w:pStyle w:val="24"/>
        <w:spacing w:line="360" w:lineRule="auto"/>
        <w:rPr>
          <w:rFonts w:hAnsi="宋体"/>
          <w:szCs w:val="21"/>
        </w:rPr>
      </w:pPr>
      <w:r>
        <w:rPr>
          <w:rFonts w:hint="eastAsia" w:hAnsi="宋体"/>
          <w:szCs w:val="21"/>
        </w:rPr>
        <w:t>运载过某种成品油类后</w:t>
      </w:r>
      <w:r>
        <w:rPr>
          <w:rFonts w:hint="eastAsia" w:hAnsi="宋体" w:cs="宋体"/>
          <w:szCs w:val="21"/>
        </w:rPr>
        <w:t>，</w:t>
      </w:r>
      <w:r>
        <w:rPr>
          <w:rFonts w:hint="eastAsia" w:hAnsi="宋体"/>
          <w:szCs w:val="21"/>
        </w:rPr>
        <w:t>可能只有用蒸汽或者在洗舱水中加入某种化学洗舱剂或添加剂进行清洗才能使货舱足够清洁。</w:t>
      </w:r>
    </w:p>
    <w:p>
      <w:pPr>
        <w:pStyle w:val="45"/>
        <w:spacing w:before="120" w:after="120"/>
      </w:pPr>
      <w:bookmarkStart w:id="142" w:name="_Toc513731897"/>
      <w:r>
        <w:rPr>
          <w:rFonts w:hint="eastAsia"/>
        </w:rPr>
        <w:t>蒸汽清舱</w:t>
      </w:r>
      <w:bookmarkEnd w:id="142"/>
    </w:p>
    <w:p>
      <w:pPr>
        <w:pStyle w:val="44"/>
        <w:numPr>
          <w:ilvl w:val="3"/>
          <w:numId w:val="2"/>
        </w:numPr>
        <w:spacing w:before="120" w:after="120" w:line="360" w:lineRule="auto"/>
        <w:jc w:val="both"/>
        <w:rPr>
          <w:rFonts w:ascii="宋体" w:hAnsi="宋体" w:eastAsia="宋体"/>
        </w:rPr>
      </w:pPr>
      <w:r>
        <w:rPr>
          <w:rFonts w:hint="eastAsia" w:ascii="宋体" w:hAnsi="宋体" w:eastAsia="宋体"/>
        </w:rPr>
        <w:t>只允许在惰化或者用水冲洗并且除气后的货舱内进行蒸汽清舱。蒸舱前舱内可燃性气体浓度不得超过LFL的10％。</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蒸舱过程中应采取措施防止舱内静电及蒸汽压力聚集。</w:t>
      </w:r>
    </w:p>
    <w:p>
      <w:pPr>
        <w:pStyle w:val="45"/>
        <w:spacing w:before="120" w:after="120"/>
      </w:pPr>
      <w:bookmarkStart w:id="143" w:name="_Toc513731898"/>
      <w:r>
        <w:rPr>
          <w:rFonts w:hint="eastAsia"/>
        </w:rPr>
        <w:t>使用化学洗舱剂</w:t>
      </w:r>
      <w:bookmarkEnd w:id="143"/>
    </w:p>
    <w:p>
      <w:pPr>
        <w:pStyle w:val="44"/>
        <w:numPr>
          <w:ilvl w:val="3"/>
          <w:numId w:val="2"/>
        </w:numPr>
        <w:spacing w:before="120" w:after="120" w:line="360" w:lineRule="auto"/>
        <w:jc w:val="both"/>
        <w:rPr>
          <w:rFonts w:ascii="宋体" w:hAnsi="宋体" w:eastAsia="宋体"/>
        </w:rPr>
      </w:pPr>
      <w:r>
        <w:rPr>
          <w:rFonts w:hint="eastAsia" w:ascii="宋体" w:hAnsi="宋体" w:eastAsia="宋体"/>
        </w:rPr>
        <w:t>可能会产生可燃气体的化学洗舱剂应在惰化的货舱内使用。在没有惰气设备的船上，若化学洗舱剂用量少，且入舱人员严格遵守进入密闭舱室的所有要求，则允许使用该洗舱剂对局部洗舱死角进行人工擦抹清洗。</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化学洗舱剂使用前，船上应具有该洗舱剂的物质安全资料表(</w:t>
      </w:r>
      <w:r>
        <w:rPr>
          <w:rFonts w:hint="eastAsia" w:ascii="Times New Roman" w:eastAsia="宋体"/>
        </w:rPr>
        <w:t>MSDS</w:t>
      </w:r>
      <w:r>
        <w:rPr>
          <w:rFonts w:hint="eastAsia" w:ascii="宋体" w:hAnsi="宋体" w:eastAsia="宋体"/>
        </w:rPr>
        <w:t>)，并遵循所应采取任何预防措施的建议。</w:t>
      </w:r>
    </w:p>
    <w:p>
      <w:pPr>
        <w:pStyle w:val="45"/>
        <w:spacing w:before="120" w:after="120"/>
      </w:pPr>
      <w:bookmarkStart w:id="144" w:name="_Toc513731899"/>
      <w:r>
        <w:rPr>
          <w:rFonts w:hint="eastAsia"/>
        </w:rPr>
        <w:t>人工清舱</w:t>
      </w:r>
      <w:bookmarkEnd w:id="144"/>
    </w:p>
    <w:p>
      <w:pPr>
        <w:pStyle w:val="44"/>
        <w:numPr>
          <w:ilvl w:val="3"/>
          <w:numId w:val="2"/>
        </w:numPr>
        <w:spacing w:before="120" w:after="120" w:line="360" w:lineRule="auto"/>
        <w:jc w:val="both"/>
        <w:rPr>
          <w:rFonts w:ascii="宋体" w:hAnsi="宋体" w:eastAsia="宋体"/>
        </w:rPr>
      </w:pPr>
      <w:r>
        <w:rPr>
          <w:rFonts w:hint="eastAsia" w:ascii="宋体" w:hAnsi="宋体" w:eastAsia="宋体"/>
        </w:rPr>
        <w:t>在人工清舱前，舱气应经证实符合7.2.4安全入舱条件，并应进行周期性的气体检测。入舱作业人员应配备袖珍式气体探测仪。</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有人在舱内进行作业的整个期间应保持连续通风。</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人工清舱所用设备或器具应在结构设计及材质上不会引起着火危险。</w:t>
      </w:r>
    </w:p>
    <w:p>
      <w:pPr>
        <w:pStyle w:val="45"/>
        <w:spacing w:before="120" w:after="120"/>
      </w:pPr>
      <w:bookmarkStart w:id="145" w:name="_Toc513731900"/>
      <w:r>
        <w:rPr>
          <w:rFonts w:hint="eastAsia"/>
        </w:rPr>
        <w:t>污压载舱清洗</w:t>
      </w:r>
      <w:bookmarkEnd w:id="145"/>
    </w:p>
    <w:p>
      <w:pPr>
        <w:pStyle w:val="44"/>
        <w:numPr>
          <w:ilvl w:val="3"/>
          <w:numId w:val="2"/>
        </w:numPr>
        <w:spacing w:before="120" w:after="120" w:line="360" w:lineRule="auto"/>
        <w:jc w:val="both"/>
        <w:rPr>
          <w:rFonts w:ascii="宋体" w:hAnsi="宋体" w:eastAsia="宋体"/>
        </w:rPr>
      </w:pPr>
      <w:r>
        <w:rPr>
          <w:rFonts w:hint="eastAsia" w:ascii="宋体" w:hAnsi="宋体" w:eastAsia="宋体"/>
        </w:rPr>
        <w:t>若货舱发生泄漏，货油流入压载舱，为有效修理需对该压载舱进行清洗。</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洗舱初期，宜采用移动式洗舱机，用水或洗舱剂清洗。手提冲水软管只可用于小面积污染或最后的清洗。不管用何方法，舱室清洗应始终遵循5.2要求进行处理。</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上述清洗后，在最后用手提冲水软管进舱冲洗前，应按照7.2.4要求对舱内进行通风，直到各取样点的读数显示舱内满足安全进入的要求，并应采取适当的控制措施来保障进入舱室人员的安全和健康。</w:t>
      </w:r>
    </w:p>
    <w:p>
      <w:pPr>
        <w:pStyle w:val="88"/>
        <w:spacing w:before="240" w:after="240" w:line="360" w:lineRule="auto"/>
        <w:rPr>
          <w:rFonts w:hAnsi="黑体"/>
          <w:szCs w:val="21"/>
        </w:rPr>
      </w:pPr>
      <w:bookmarkStart w:id="146" w:name="_Toc513394651"/>
      <w:bookmarkStart w:id="147" w:name="_Toc513731901"/>
      <w:bookmarkStart w:id="148" w:name="_Toc513731989"/>
      <w:bookmarkStart w:id="149" w:name="_Toc513732008"/>
      <w:bookmarkStart w:id="150" w:name="_Toc513734084"/>
      <w:r>
        <w:rPr>
          <w:rFonts w:hint="eastAsia" w:hAnsi="黑体"/>
          <w:szCs w:val="21"/>
        </w:rPr>
        <w:t>原油洗舱</w:t>
      </w:r>
      <w:bookmarkEnd w:id="146"/>
      <w:bookmarkEnd w:id="147"/>
      <w:bookmarkEnd w:id="148"/>
      <w:bookmarkEnd w:id="149"/>
      <w:bookmarkEnd w:id="150"/>
    </w:p>
    <w:p>
      <w:pPr>
        <w:pStyle w:val="46"/>
        <w:spacing w:before="120" w:after="120" w:line="360" w:lineRule="auto"/>
        <w:jc w:val="both"/>
        <w:rPr>
          <w:rFonts w:hAnsi="黑体"/>
        </w:rPr>
      </w:pPr>
      <w:r>
        <w:rPr>
          <w:rFonts w:hint="eastAsia" w:hAnsi="黑体"/>
        </w:rPr>
        <w:t>概述</w:t>
      </w:r>
    </w:p>
    <w:p>
      <w:pPr>
        <w:pStyle w:val="24"/>
        <w:spacing w:line="360" w:lineRule="auto"/>
        <w:rPr>
          <w:rFonts w:hAnsi="宋体"/>
          <w:szCs w:val="21"/>
        </w:rPr>
      </w:pPr>
      <w:r>
        <w:rPr>
          <w:rFonts w:hint="eastAsia" w:hAnsi="宋体"/>
          <w:szCs w:val="21"/>
        </w:rPr>
        <w:t>装有惰性气体系统和固定洗舱设备的原油船，可利用所载原油作为洗舱介质进行洗舱。原油洗舱作业既可在港口也可在航行中进行，但所有原油洗舱必须在船舶离开最后卸油港前完成。</w:t>
      </w:r>
    </w:p>
    <w:p>
      <w:pPr>
        <w:pStyle w:val="46"/>
        <w:spacing w:before="120" w:after="120" w:line="360" w:lineRule="auto"/>
        <w:jc w:val="both"/>
        <w:rPr>
          <w:rFonts w:hAnsi="黑体"/>
        </w:rPr>
      </w:pPr>
      <w:bookmarkStart w:id="151" w:name="_Toc513394652"/>
      <w:bookmarkStart w:id="152" w:name="_Toc513731902"/>
      <w:bookmarkStart w:id="153" w:name="_Toc513731990"/>
      <w:r>
        <w:rPr>
          <w:rFonts w:hint="eastAsia" w:hAnsi="黑体"/>
        </w:rPr>
        <w:t>原油洗舱作业计划</w:t>
      </w:r>
      <w:bookmarkEnd w:id="151"/>
      <w:bookmarkEnd w:id="152"/>
      <w:bookmarkEnd w:id="153"/>
    </w:p>
    <w:p>
      <w:pPr>
        <w:pStyle w:val="45"/>
        <w:spacing w:before="120" w:after="120" w:line="360" w:lineRule="auto"/>
        <w:jc w:val="both"/>
        <w:rPr>
          <w:rFonts w:ascii="宋体" w:hAnsi="宋体" w:eastAsia="宋体"/>
        </w:rPr>
      </w:pPr>
      <w:bookmarkStart w:id="154" w:name="_Toc513731903"/>
      <w:r>
        <w:rPr>
          <w:rFonts w:hint="eastAsia" w:ascii="宋体" w:hAnsi="宋体" w:eastAsia="宋体"/>
        </w:rPr>
        <w:t>原油洗舱作业计划应与卸货计划同时制定。作业计划应依照本船经认可的《原油洗舱操作和设备手册》，根据本航次载货情况、港口卸货速率和预定洗舱数目及洗舱目的进行编制。洗舱作业计划应经本船洗舱作业负责人签字认可。</w:t>
      </w:r>
      <w:bookmarkEnd w:id="154"/>
    </w:p>
    <w:p>
      <w:pPr>
        <w:pStyle w:val="45"/>
        <w:spacing w:before="120" w:after="120" w:line="360" w:lineRule="auto"/>
        <w:jc w:val="both"/>
        <w:rPr>
          <w:rFonts w:ascii="宋体" w:hAnsi="宋体" w:eastAsia="宋体"/>
        </w:rPr>
      </w:pPr>
      <w:bookmarkStart w:id="155" w:name="_Toc513731904"/>
      <w:r>
        <w:rPr>
          <w:rFonts w:hint="eastAsia" w:ascii="宋体" w:hAnsi="宋体" w:eastAsia="宋体"/>
        </w:rPr>
        <w:t>参与洗舱作业的人员应掌握原油洗舱作业计划中的内容并能按计划贯彻实施。</w:t>
      </w:r>
      <w:bookmarkEnd w:id="155"/>
    </w:p>
    <w:p>
      <w:pPr>
        <w:pStyle w:val="46"/>
        <w:spacing w:before="120" w:after="120" w:line="360" w:lineRule="auto"/>
        <w:jc w:val="both"/>
        <w:rPr>
          <w:rFonts w:hAnsi="黑体"/>
        </w:rPr>
      </w:pPr>
      <w:bookmarkStart w:id="156" w:name="_Toc464089347"/>
      <w:bookmarkStart w:id="157" w:name="_Toc513394653"/>
      <w:bookmarkStart w:id="158" w:name="_Toc513731905"/>
      <w:bookmarkStart w:id="159" w:name="_Toc513731991"/>
      <w:r>
        <w:rPr>
          <w:rFonts w:hint="eastAsia" w:hAnsi="黑体"/>
        </w:rPr>
        <w:t>原油洗舱作业实施</w:t>
      </w:r>
      <w:bookmarkEnd w:id="156"/>
      <w:bookmarkEnd w:id="157"/>
      <w:bookmarkEnd w:id="158"/>
      <w:bookmarkEnd w:id="159"/>
    </w:p>
    <w:p>
      <w:pPr>
        <w:pStyle w:val="45"/>
        <w:spacing w:before="120" w:after="120" w:line="360" w:lineRule="auto"/>
        <w:jc w:val="both"/>
        <w:rPr>
          <w:rFonts w:ascii="宋体" w:hAnsi="宋体" w:eastAsia="宋体"/>
        </w:rPr>
      </w:pPr>
      <w:bookmarkStart w:id="160" w:name="_Toc513731906"/>
      <w:r>
        <w:rPr>
          <w:rFonts w:hint="eastAsia" w:ascii="宋体" w:hAnsi="宋体" w:eastAsia="宋体"/>
        </w:rPr>
        <w:t>需在卸油中进行原油洗舱时，应经卸货方(卸货港或船对船过驳时的二程船)认可后，方可进行原油洗舱作业。</w:t>
      </w:r>
      <w:bookmarkEnd w:id="160"/>
    </w:p>
    <w:p>
      <w:pPr>
        <w:pStyle w:val="45"/>
        <w:spacing w:before="120" w:after="120" w:line="360" w:lineRule="auto"/>
        <w:jc w:val="both"/>
        <w:rPr>
          <w:rFonts w:ascii="宋体" w:hAnsi="宋体" w:eastAsia="宋体"/>
        </w:rPr>
      </w:pPr>
      <w:bookmarkStart w:id="161" w:name="_Toc513731907"/>
      <w:r>
        <w:rPr>
          <w:rFonts w:hint="eastAsia" w:ascii="宋体" w:hAnsi="宋体" w:eastAsia="宋体"/>
        </w:rPr>
        <w:t>原油洗舱作业前，整个洗舱系统应以正常工作压力试压并查漏。洗舱作业期间，应始终对系统进行监视，以便能立即发现泄漏并采取措施加以处理。洗舱期间液舱转换时，应合理控制以免管系压力波动剧烈造成损坏。</w:t>
      </w:r>
      <w:bookmarkEnd w:id="161"/>
    </w:p>
    <w:p>
      <w:pPr>
        <w:pStyle w:val="45"/>
        <w:spacing w:before="120" w:after="120" w:line="360" w:lineRule="auto"/>
        <w:jc w:val="both"/>
        <w:rPr>
          <w:rFonts w:ascii="宋体" w:hAnsi="宋体" w:eastAsia="宋体"/>
        </w:rPr>
      </w:pPr>
      <w:bookmarkStart w:id="162" w:name="_Toc513731908"/>
      <w:r>
        <w:rPr>
          <w:rFonts w:hint="eastAsia" w:ascii="宋体" w:hAnsi="宋体" w:eastAsia="宋体"/>
        </w:rPr>
        <w:t>洗舱油应与被清洗油舱所载油相同品种，洗舱油内不应混入杂质和水。应将预定用做洗舱油的货舱卸掉</w:t>
      </w:r>
      <w:r>
        <w:rPr>
          <w:rFonts w:ascii="宋体" w:hAnsi="宋体" w:eastAsia="宋体"/>
        </w:rPr>
        <w:t>1</w:t>
      </w:r>
      <w:r>
        <w:rPr>
          <w:rFonts w:ascii="Times New Roman" w:eastAsia="宋体"/>
        </w:rPr>
        <w:t>m</w:t>
      </w:r>
      <w:r>
        <w:rPr>
          <w:rFonts w:hint="eastAsia" w:ascii="宋体" w:hAnsi="宋体" w:eastAsia="宋体"/>
        </w:rPr>
        <w:t>舱深后才可供洗舱使用。</w:t>
      </w:r>
      <w:bookmarkEnd w:id="162"/>
    </w:p>
    <w:p>
      <w:pPr>
        <w:pStyle w:val="45"/>
        <w:spacing w:before="120" w:after="120" w:line="360" w:lineRule="auto"/>
        <w:jc w:val="both"/>
        <w:rPr>
          <w:rFonts w:ascii="宋体" w:hAnsi="宋体" w:eastAsia="宋体"/>
        </w:rPr>
      </w:pPr>
      <w:bookmarkStart w:id="163" w:name="_Toc513731909"/>
      <w:r>
        <w:rPr>
          <w:rFonts w:hint="eastAsia" w:ascii="宋体" w:hAnsi="宋体" w:eastAsia="宋体"/>
        </w:rPr>
        <w:t>如洗舱水加热器装在机舱外部，在原油洗舱期间应用盲板将其隔离。</w:t>
      </w:r>
      <w:bookmarkEnd w:id="163"/>
    </w:p>
    <w:p>
      <w:pPr>
        <w:pStyle w:val="45"/>
        <w:spacing w:before="120" w:after="120" w:line="360" w:lineRule="auto"/>
        <w:jc w:val="both"/>
        <w:rPr>
          <w:rFonts w:ascii="宋体" w:hAnsi="宋体" w:eastAsia="宋体"/>
        </w:rPr>
      </w:pPr>
      <w:bookmarkStart w:id="164" w:name="_Toc513731910"/>
      <w:r>
        <w:rPr>
          <w:rFonts w:hint="eastAsia" w:ascii="宋体" w:hAnsi="宋体" w:eastAsia="宋体"/>
        </w:rPr>
        <w:t>用污油水舱作洗舱油供给舱时，应先将其混有污油的原油全部卸掉，用原油清洗后再装入清洁货油作为清洗用原油。扫舱抽回的原油不应直接排入该舱，应先排到另一污油舱，经一定时间沉淀分离后，再经水平连通管流入该舱。</w:t>
      </w:r>
      <w:bookmarkEnd w:id="164"/>
    </w:p>
    <w:p>
      <w:pPr>
        <w:pStyle w:val="45"/>
        <w:spacing w:before="120" w:after="120" w:line="360" w:lineRule="auto"/>
        <w:jc w:val="both"/>
        <w:rPr>
          <w:rFonts w:ascii="宋体" w:hAnsi="宋体" w:eastAsia="宋体"/>
        </w:rPr>
      </w:pPr>
      <w:r>
        <w:rPr>
          <w:rFonts w:hint="eastAsia" w:ascii="宋体" w:hAnsi="宋体" w:eastAsia="宋体"/>
        </w:rPr>
        <w:t>如实际需要，须在经原油洗舱后的货舱压载出港，为控制该舱油气散发，可：</w:t>
      </w:r>
    </w:p>
    <w:p>
      <w:pPr>
        <w:pStyle w:val="24"/>
        <w:numPr>
          <w:ilvl w:val="0"/>
          <w:numId w:val="21"/>
        </w:numPr>
        <w:tabs>
          <w:tab w:val="center" w:pos="851"/>
          <w:tab w:val="clear" w:pos="4201"/>
        </w:tabs>
        <w:spacing w:line="360" w:lineRule="auto"/>
        <w:ind w:firstLineChars="0"/>
        <w:rPr>
          <w:rFonts w:hAnsi="宋体"/>
          <w:szCs w:val="21"/>
        </w:rPr>
      </w:pPr>
      <w:r>
        <w:rPr>
          <w:rFonts w:hint="eastAsia" w:hAnsi="宋体"/>
          <w:szCs w:val="21"/>
        </w:rPr>
        <w:t>尽量使用固定压载舱压载，以提供最低限度的出港吃水；</w:t>
      </w:r>
    </w:p>
    <w:p>
      <w:pPr>
        <w:pStyle w:val="24"/>
        <w:numPr>
          <w:ilvl w:val="0"/>
          <w:numId w:val="21"/>
        </w:numPr>
        <w:tabs>
          <w:tab w:val="center" w:pos="851"/>
          <w:tab w:val="clear" w:pos="4201"/>
        </w:tabs>
        <w:spacing w:line="360" w:lineRule="auto"/>
        <w:ind w:firstLineChars="0"/>
        <w:rPr>
          <w:rFonts w:hAnsi="宋体"/>
          <w:szCs w:val="21"/>
        </w:rPr>
      </w:pPr>
      <w:r>
        <w:rPr>
          <w:rFonts w:hint="eastAsia" w:hAnsi="宋体"/>
          <w:szCs w:val="21"/>
        </w:rPr>
        <w:t>把拟压载的货舱空间直接连通到拟卸载的货舱空间，同时压载和卸货油；</w:t>
      </w:r>
    </w:p>
    <w:p>
      <w:pPr>
        <w:pStyle w:val="24"/>
        <w:numPr>
          <w:ilvl w:val="0"/>
          <w:numId w:val="21"/>
        </w:numPr>
        <w:tabs>
          <w:tab w:val="center" w:pos="851"/>
          <w:tab w:val="clear" w:pos="4201"/>
        </w:tabs>
        <w:spacing w:line="360" w:lineRule="auto"/>
        <w:ind w:firstLineChars="0"/>
        <w:rPr>
          <w:rFonts w:hAnsi="宋体"/>
          <w:szCs w:val="21"/>
        </w:rPr>
      </w:pPr>
      <w:r>
        <w:rPr>
          <w:rFonts w:hint="eastAsia" w:hAnsi="宋体"/>
          <w:szCs w:val="21"/>
        </w:rPr>
        <w:t>控制洗舱结束时舱内蒸气压力处于最低，同时通过惰气管路连通所有的货舱；</w:t>
      </w:r>
    </w:p>
    <w:p>
      <w:pPr>
        <w:pStyle w:val="24"/>
        <w:numPr>
          <w:ilvl w:val="0"/>
          <w:numId w:val="21"/>
        </w:numPr>
        <w:tabs>
          <w:tab w:val="center" w:pos="851"/>
          <w:tab w:val="clear" w:pos="4201"/>
        </w:tabs>
        <w:spacing w:line="360" w:lineRule="auto"/>
        <w:ind w:firstLineChars="0"/>
        <w:rPr>
          <w:rFonts w:hAnsi="宋体"/>
          <w:szCs w:val="21"/>
        </w:rPr>
      </w:pPr>
      <w:r>
        <w:rPr>
          <w:rFonts w:hint="eastAsia" w:hAnsi="宋体"/>
          <w:szCs w:val="21"/>
        </w:rPr>
        <w:t>上述方法的合适组合。</w:t>
      </w:r>
    </w:p>
    <w:p>
      <w:pPr>
        <w:pStyle w:val="45"/>
        <w:spacing w:before="120" w:after="120" w:line="360" w:lineRule="auto"/>
        <w:jc w:val="both"/>
        <w:rPr>
          <w:rFonts w:ascii="宋体" w:hAnsi="宋体" w:eastAsia="宋体"/>
        </w:rPr>
      </w:pPr>
      <w:bookmarkStart w:id="165" w:name="_Toc513731912"/>
      <w:r>
        <w:rPr>
          <w:rFonts w:hint="eastAsia" w:ascii="宋体" w:hAnsi="宋体" w:eastAsia="宋体"/>
        </w:rPr>
        <w:t>当发生下述情况时应立即通告港方(卸货方)负责人员：</w:t>
      </w:r>
      <w:bookmarkEnd w:id="165"/>
    </w:p>
    <w:p>
      <w:pPr>
        <w:pStyle w:val="24"/>
        <w:numPr>
          <w:ilvl w:val="0"/>
          <w:numId w:val="22"/>
        </w:numPr>
        <w:tabs>
          <w:tab w:val="center" w:pos="851"/>
          <w:tab w:val="clear" w:pos="4201"/>
        </w:tabs>
        <w:spacing w:line="360" w:lineRule="auto"/>
        <w:ind w:firstLineChars="0"/>
        <w:rPr>
          <w:rFonts w:hAnsi="宋体"/>
          <w:szCs w:val="21"/>
        </w:rPr>
      </w:pPr>
      <w:r>
        <w:rPr>
          <w:rFonts w:hint="eastAsia" w:hAnsi="宋体"/>
          <w:szCs w:val="21"/>
        </w:rPr>
        <w:t>原油洗舱计划变更时；</w:t>
      </w:r>
    </w:p>
    <w:p>
      <w:pPr>
        <w:pStyle w:val="24"/>
        <w:numPr>
          <w:ilvl w:val="0"/>
          <w:numId w:val="22"/>
        </w:numPr>
        <w:tabs>
          <w:tab w:val="center" w:pos="851"/>
          <w:tab w:val="clear" w:pos="4201"/>
        </w:tabs>
        <w:spacing w:line="360" w:lineRule="auto"/>
        <w:ind w:firstLineChars="0"/>
        <w:rPr>
          <w:rFonts w:hAnsi="宋体"/>
          <w:szCs w:val="21"/>
        </w:rPr>
      </w:pPr>
      <w:r>
        <w:rPr>
          <w:rFonts w:hint="eastAsia" w:hAnsi="宋体"/>
          <w:szCs w:val="21"/>
        </w:rPr>
        <w:t>与原油洗舱有关设备出现故障时；</w:t>
      </w:r>
    </w:p>
    <w:p>
      <w:pPr>
        <w:pStyle w:val="24"/>
        <w:numPr>
          <w:ilvl w:val="0"/>
          <w:numId w:val="22"/>
        </w:numPr>
        <w:tabs>
          <w:tab w:val="center" w:pos="851"/>
          <w:tab w:val="clear" w:pos="4201"/>
        </w:tabs>
        <w:spacing w:line="360" w:lineRule="auto"/>
        <w:ind w:firstLineChars="0"/>
        <w:rPr>
          <w:rFonts w:hAnsi="宋体"/>
          <w:szCs w:val="21"/>
        </w:rPr>
      </w:pPr>
      <w:r>
        <w:rPr>
          <w:rFonts w:hint="eastAsia" w:hAnsi="宋体"/>
          <w:szCs w:val="21"/>
        </w:rPr>
        <w:t>卸货速率或接岸管系变更时；</w:t>
      </w:r>
    </w:p>
    <w:p>
      <w:pPr>
        <w:pStyle w:val="24"/>
        <w:numPr>
          <w:ilvl w:val="0"/>
          <w:numId w:val="22"/>
        </w:numPr>
        <w:tabs>
          <w:tab w:val="center" w:pos="851"/>
          <w:tab w:val="clear" w:pos="4201"/>
        </w:tabs>
        <w:spacing w:line="360" w:lineRule="auto"/>
        <w:ind w:firstLineChars="0"/>
        <w:rPr>
          <w:rFonts w:hAnsi="宋体"/>
          <w:szCs w:val="21"/>
        </w:rPr>
      </w:pPr>
      <w:r>
        <w:rPr>
          <w:rFonts w:hint="eastAsia" w:hAnsi="宋体"/>
          <w:szCs w:val="21"/>
        </w:rPr>
        <w:t>发生其它紧急情况时。</w:t>
      </w:r>
    </w:p>
    <w:p>
      <w:pPr>
        <w:pStyle w:val="46"/>
        <w:spacing w:before="120" w:after="120" w:line="360" w:lineRule="auto"/>
        <w:jc w:val="both"/>
        <w:rPr>
          <w:rFonts w:hAnsi="黑体"/>
        </w:rPr>
      </w:pPr>
      <w:bookmarkStart w:id="166" w:name="_Toc464089348"/>
      <w:bookmarkStart w:id="167" w:name="_Toc513394654"/>
      <w:bookmarkStart w:id="168" w:name="_Toc513731913"/>
      <w:bookmarkStart w:id="169" w:name="_Toc513731992"/>
      <w:r>
        <w:rPr>
          <w:rFonts w:hint="eastAsia" w:hAnsi="黑体"/>
        </w:rPr>
        <w:t>原油洗舱作业安全措施</w:t>
      </w:r>
      <w:bookmarkEnd w:id="166"/>
      <w:bookmarkEnd w:id="167"/>
      <w:bookmarkEnd w:id="168"/>
      <w:bookmarkEnd w:id="169"/>
    </w:p>
    <w:p>
      <w:pPr>
        <w:pStyle w:val="45"/>
        <w:spacing w:before="120" w:after="120" w:line="360" w:lineRule="auto"/>
        <w:jc w:val="both"/>
        <w:rPr>
          <w:rFonts w:ascii="宋体" w:hAnsi="宋体" w:eastAsia="宋体"/>
        </w:rPr>
      </w:pPr>
      <w:bookmarkStart w:id="170" w:name="_Toc513731914"/>
      <w:r>
        <w:rPr>
          <w:rFonts w:hint="eastAsia" w:ascii="宋体" w:hAnsi="宋体" w:eastAsia="宋体"/>
        </w:rPr>
        <w:t>安全检查</w:t>
      </w:r>
      <w:bookmarkEnd w:id="170"/>
    </w:p>
    <w:p>
      <w:pPr>
        <w:pStyle w:val="44"/>
        <w:numPr>
          <w:ilvl w:val="3"/>
          <w:numId w:val="2"/>
        </w:numPr>
        <w:spacing w:before="120" w:after="120" w:line="360" w:lineRule="auto"/>
        <w:jc w:val="both"/>
        <w:rPr>
          <w:rFonts w:ascii="Times New Roman" w:eastAsia="宋体"/>
        </w:rPr>
      </w:pPr>
      <w:r>
        <w:rPr>
          <w:rFonts w:hint="eastAsia" w:ascii="宋体" w:hAnsi="宋体" w:eastAsia="宋体"/>
        </w:rPr>
        <w:t>船到达卸货港之前，应按“原油</w:t>
      </w:r>
      <w:r>
        <w:rPr>
          <w:rFonts w:hint="eastAsia" w:ascii="Times New Roman" w:eastAsia="宋体"/>
        </w:rPr>
        <w:t>洗舱安全确认表”</w:t>
      </w:r>
      <w:r>
        <w:rPr>
          <w:rFonts w:hint="eastAsia" w:ascii="新宋体" w:hAnsi="新宋体" w:eastAsia="新宋体"/>
        </w:rPr>
        <w:t>(</w:t>
      </w:r>
      <w:r>
        <w:rPr>
          <w:rFonts w:hint="eastAsia" w:ascii="Times New Roman" w:eastAsia="宋体"/>
        </w:rPr>
        <w:t>附录</w:t>
      </w:r>
      <w:r>
        <w:rPr>
          <w:rFonts w:ascii="Times New Roman" w:eastAsia="宋体"/>
        </w:rPr>
        <w:t>A</w:t>
      </w:r>
      <w:r>
        <w:rPr>
          <w:rFonts w:hint="eastAsia" w:ascii="Times New Roman" w:eastAsia="宋体"/>
        </w:rPr>
        <w:t>表</w:t>
      </w:r>
      <w:r>
        <w:rPr>
          <w:rFonts w:ascii="Times New Roman" w:eastAsia="宋体"/>
        </w:rPr>
        <w:t>A</w:t>
      </w:r>
      <w:r>
        <w:rPr>
          <w:rFonts w:hint="eastAsia" w:ascii="Times New Roman" w:eastAsia="宋体"/>
        </w:rPr>
        <w:t>.</w:t>
      </w:r>
      <w:r>
        <w:rPr>
          <w:rFonts w:ascii="新宋体" w:hAnsi="新宋体" w:eastAsia="新宋体"/>
        </w:rPr>
        <w:t>1</w:t>
      </w:r>
      <w:r>
        <w:rPr>
          <w:rFonts w:hint="eastAsia" w:ascii="新宋体" w:hAnsi="新宋体" w:eastAsia="新宋体"/>
        </w:rPr>
        <w:t>)</w:t>
      </w:r>
      <w:r>
        <w:rPr>
          <w:rFonts w:hint="eastAsia" w:ascii="Times New Roman" w:eastAsia="宋体"/>
        </w:rPr>
        <w:t>的项目进行检查。</w:t>
      </w:r>
    </w:p>
    <w:p>
      <w:pPr>
        <w:pStyle w:val="44"/>
        <w:numPr>
          <w:ilvl w:val="3"/>
          <w:numId w:val="2"/>
        </w:numPr>
        <w:spacing w:before="120" w:after="120" w:line="360" w:lineRule="auto"/>
        <w:jc w:val="both"/>
        <w:rPr>
          <w:rFonts w:ascii="宋体" w:hAnsi="宋体" w:eastAsia="宋体"/>
        </w:rPr>
      </w:pPr>
      <w:r>
        <w:rPr>
          <w:rFonts w:hint="eastAsia" w:ascii="Times New Roman" w:eastAsia="宋体"/>
        </w:rPr>
        <w:t>原油洗舱作业开始前，应按附录</w:t>
      </w:r>
      <w:r>
        <w:rPr>
          <w:rFonts w:ascii="Times New Roman" w:eastAsia="宋体"/>
        </w:rPr>
        <w:t>A</w:t>
      </w:r>
      <w:r>
        <w:rPr>
          <w:rFonts w:hint="eastAsia" w:ascii="Times New Roman" w:eastAsia="宋体"/>
        </w:rPr>
        <w:t>表</w:t>
      </w:r>
      <w:r>
        <w:rPr>
          <w:rFonts w:ascii="Times New Roman" w:eastAsia="宋体"/>
        </w:rPr>
        <w:t>A</w:t>
      </w:r>
      <w:r>
        <w:rPr>
          <w:rFonts w:hint="eastAsia" w:ascii="Times New Roman" w:eastAsia="宋体"/>
        </w:rPr>
        <w:t>.</w:t>
      </w:r>
      <w:r>
        <w:rPr>
          <w:rFonts w:ascii="宋体" w:hAnsi="宋体" w:eastAsia="宋体"/>
        </w:rPr>
        <w:t>2</w:t>
      </w:r>
      <w:r>
        <w:rPr>
          <w:rFonts w:hint="eastAsia" w:ascii="宋体" w:hAnsi="宋体" w:eastAsia="宋体"/>
        </w:rPr>
        <w:t>各项检查确认无误，方可开始洗舱。</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原油洗舱作业期间，应按附</w:t>
      </w:r>
      <w:r>
        <w:rPr>
          <w:rFonts w:hint="eastAsia" w:ascii="Times New Roman" w:eastAsia="宋体"/>
        </w:rPr>
        <w:t>录</w:t>
      </w:r>
      <w:r>
        <w:rPr>
          <w:rFonts w:ascii="Times New Roman" w:eastAsia="宋体"/>
        </w:rPr>
        <w:t>A</w:t>
      </w:r>
      <w:r>
        <w:rPr>
          <w:rFonts w:hint="eastAsia" w:ascii="Times New Roman" w:eastAsia="宋体"/>
        </w:rPr>
        <w:t>表</w:t>
      </w:r>
      <w:r>
        <w:rPr>
          <w:rFonts w:ascii="Times New Roman" w:eastAsia="宋体"/>
        </w:rPr>
        <w:t>A</w:t>
      </w:r>
      <w:r>
        <w:rPr>
          <w:rFonts w:hint="eastAsia" w:ascii="Times New Roman" w:eastAsia="宋体"/>
        </w:rPr>
        <w:t>.</w:t>
      </w:r>
      <w:r>
        <w:rPr>
          <w:rFonts w:ascii="宋体" w:hAnsi="宋体" w:eastAsia="宋体"/>
        </w:rPr>
        <w:t>3</w:t>
      </w:r>
      <w:r>
        <w:rPr>
          <w:rFonts w:hint="eastAsia" w:ascii="宋体" w:hAnsi="宋体" w:eastAsia="宋体"/>
        </w:rPr>
        <w:t>各项检查，如有不符合要求的项目应停止洗舱作业。</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原油洗舱作业结束后，应按附</w:t>
      </w:r>
      <w:r>
        <w:rPr>
          <w:rFonts w:hint="eastAsia" w:ascii="Times New Roman" w:eastAsia="宋体"/>
        </w:rPr>
        <w:t>录</w:t>
      </w:r>
      <w:r>
        <w:rPr>
          <w:rFonts w:ascii="Times New Roman" w:eastAsia="宋体"/>
        </w:rPr>
        <w:t>A</w:t>
      </w:r>
      <w:r>
        <w:rPr>
          <w:rFonts w:hint="eastAsia" w:ascii="Times New Roman" w:eastAsia="宋体"/>
        </w:rPr>
        <w:t>表</w:t>
      </w:r>
      <w:r>
        <w:rPr>
          <w:rFonts w:ascii="Times New Roman" w:eastAsia="宋体"/>
        </w:rPr>
        <w:t>A</w:t>
      </w:r>
      <w:r>
        <w:rPr>
          <w:rFonts w:hint="eastAsia" w:ascii="Times New Roman" w:eastAsia="宋体"/>
        </w:rPr>
        <w:t>.</w:t>
      </w:r>
      <w:r>
        <w:rPr>
          <w:rFonts w:ascii="宋体" w:hAnsi="宋体" w:eastAsia="宋体"/>
        </w:rPr>
        <w:t>4</w:t>
      </w:r>
      <w:r>
        <w:rPr>
          <w:rFonts w:hint="eastAsia" w:ascii="宋体" w:hAnsi="宋体" w:eastAsia="宋体"/>
        </w:rPr>
        <w:t>各项检查，并报告港方(卸货方)宣告原油洗舱作业安全结束。</w:t>
      </w:r>
    </w:p>
    <w:p>
      <w:pPr>
        <w:pStyle w:val="45"/>
        <w:spacing w:before="120" w:after="120" w:line="360" w:lineRule="auto"/>
        <w:jc w:val="both"/>
        <w:rPr>
          <w:rFonts w:ascii="宋体" w:hAnsi="宋体" w:eastAsia="宋体"/>
        </w:rPr>
      </w:pPr>
      <w:bookmarkStart w:id="171" w:name="_Toc513731915"/>
      <w:r>
        <w:rPr>
          <w:rFonts w:hint="eastAsia" w:ascii="宋体" w:hAnsi="宋体" w:eastAsia="宋体"/>
        </w:rPr>
        <w:t>氧气浓度的控制。</w:t>
      </w:r>
      <w:bookmarkEnd w:id="171"/>
    </w:p>
    <w:p>
      <w:pPr>
        <w:pStyle w:val="44"/>
        <w:numPr>
          <w:ilvl w:val="3"/>
          <w:numId w:val="2"/>
        </w:numPr>
        <w:spacing w:before="120" w:after="120" w:line="360" w:lineRule="auto"/>
        <w:jc w:val="both"/>
        <w:rPr>
          <w:rFonts w:ascii="宋体" w:hAnsi="宋体" w:eastAsia="宋体"/>
        </w:rPr>
      </w:pPr>
      <w:r>
        <w:rPr>
          <w:rFonts w:hint="eastAsia" w:ascii="宋体" w:hAnsi="宋体" w:eastAsia="宋体"/>
        </w:rPr>
        <w:t>洗舱前，应在舱内上下两个测点测量氧气浓度。上部测点不应低于油舱顶部1 m，下部测点应高于船底外板桁材高度，但应距液舱底部至少0.5m。</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原油洗舱期间货舱氧气浓度应在</w:t>
      </w:r>
      <w:r>
        <w:rPr>
          <w:rFonts w:ascii="宋体" w:hAnsi="宋体" w:eastAsia="宋体"/>
        </w:rPr>
        <w:t>8</w:t>
      </w:r>
      <w:r>
        <w:rPr>
          <w:rFonts w:hint="eastAsia" w:ascii="宋体" w:hAnsi="宋体" w:eastAsia="宋体"/>
        </w:rPr>
        <w:t>％以下。惰气总管的氧气含量不应超过</w:t>
      </w:r>
      <w:r>
        <w:rPr>
          <w:rFonts w:ascii="宋体" w:hAnsi="宋体" w:eastAsia="宋体"/>
        </w:rPr>
        <w:t>5</w:t>
      </w:r>
      <w:r>
        <w:rPr>
          <w:rFonts w:hint="eastAsia" w:ascii="宋体" w:hAnsi="宋体" w:eastAsia="宋体"/>
        </w:rPr>
        <w:t>％，由于锅炉燃烧波动等原因导致含氧量瞬时升高时不应超过</w:t>
      </w:r>
      <w:r>
        <w:rPr>
          <w:rFonts w:ascii="宋体" w:hAnsi="宋体" w:eastAsia="宋体"/>
        </w:rPr>
        <w:t>8</w:t>
      </w:r>
      <w:r>
        <w:rPr>
          <w:rFonts w:hint="eastAsia" w:ascii="宋体" w:hAnsi="宋体" w:eastAsia="宋体"/>
        </w:rPr>
        <w:t>％。</w:t>
      </w:r>
    </w:p>
    <w:p>
      <w:pPr>
        <w:pStyle w:val="45"/>
        <w:spacing w:before="120" w:after="120" w:line="360" w:lineRule="auto"/>
        <w:jc w:val="both"/>
        <w:rPr>
          <w:rFonts w:ascii="宋体" w:hAnsi="宋体" w:eastAsia="宋体"/>
        </w:rPr>
      </w:pPr>
      <w:bookmarkStart w:id="172" w:name="_Toc513731916"/>
      <w:r>
        <w:rPr>
          <w:rFonts w:hint="eastAsia" w:ascii="宋体" w:hAnsi="宋体" w:eastAsia="宋体"/>
        </w:rPr>
        <w:t>舱内压力控制</w:t>
      </w:r>
      <w:bookmarkEnd w:id="172"/>
    </w:p>
    <w:p>
      <w:pPr>
        <w:pStyle w:val="24"/>
        <w:spacing w:line="360" w:lineRule="auto"/>
        <w:rPr>
          <w:rFonts w:hAnsi="宋体"/>
          <w:szCs w:val="21"/>
        </w:rPr>
      </w:pPr>
      <w:r>
        <w:rPr>
          <w:rFonts w:hint="eastAsia" w:hAnsi="宋体"/>
          <w:szCs w:val="21"/>
        </w:rPr>
        <w:t>原油洗舱作业时，货舱内气体压力应保持在正压状态。</w:t>
      </w:r>
    </w:p>
    <w:p>
      <w:pPr>
        <w:pStyle w:val="45"/>
        <w:spacing w:before="120" w:after="120" w:line="360" w:lineRule="auto"/>
        <w:jc w:val="both"/>
        <w:rPr>
          <w:rFonts w:ascii="宋体" w:hAnsi="宋体" w:eastAsia="宋体"/>
        </w:rPr>
      </w:pPr>
      <w:bookmarkStart w:id="173" w:name="_Toc513731917"/>
      <w:r>
        <w:rPr>
          <w:rFonts w:hint="eastAsia" w:ascii="宋体" w:hAnsi="宋体" w:eastAsia="宋体"/>
        </w:rPr>
        <w:t>发生下列情况之一时，应中止原油洗舱作业：</w:t>
      </w:r>
      <w:bookmarkEnd w:id="173"/>
    </w:p>
    <w:p>
      <w:pPr>
        <w:pStyle w:val="24"/>
        <w:numPr>
          <w:ilvl w:val="0"/>
          <w:numId w:val="23"/>
        </w:numPr>
        <w:tabs>
          <w:tab w:val="center" w:pos="851"/>
          <w:tab w:val="clear" w:pos="4201"/>
        </w:tabs>
        <w:spacing w:line="360" w:lineRule="auto"/>
        <w:ind w:firstLineChars="0"/>
        <w:rPr>
          <w:rFonts w:hAnsi="宋体"/>
          <w:szCs w:val="21"/>
        </w:rPr>
      </w:pPr>
      <w:r>
        <w:rPr>
          <w:rFonts w:hint="eastAsia" w:hAnsi="宋体"/>
          <w:szCs w:val="21"/>
        </w:rPr>
        <w:t>舱内氧气浓度超过</w:t>
      </w:r>
      <w:r>
        <w:rPr>
          <w:rFonts w:hAnsi="宋体"/>
          <w:szCs w:val="21"/>
        </w:rPr>
        <w:t>8</w:t>
      </w:r>
      <w:r>
        <w:rPr>
          <w:rFonts w:hint="eastAsia" w:hAnsi="宋体"/>
          <w:szCs w:val="21"/>
        </w:rPr>
        <w:t>％时；</w:t>
      </w:r>
    </w:p>
    <w:p>
      <w:pPr>
        <w:pStyle w:val="24"/>
        <w:numPr>
          <w:ilvl w:val="0"/>
          <w:numId w:val="23"/>
        </w:numPr>
        <w:tabs>
          <w:tab w:val="center" w:pos="851"/>
          <w:tab w:val="clear" w:pos="4201"/>
        </w:tabs>
        <w:spacing w:line="360" w:lineRule="auto"/>
        <w:ind w:firstLineChars="0"/>
        <w:rPr>
          <w:rFonts w:hAnsi="宋体"/>
          <w:szCs w:val="21"/>
        </w:rPr>
      </w:pPr>
      <w:r>
        <w:rPr>
          <w:rFonts w:hint="eastAsia" w:hAnsi="宋体"/>
          <w:szCs w:val="21"/>
        </w:rPr>
        <w:t>惰性气体系统发生故障时；</w:t>
      </w:r>
    </w:p>
    <w:p>
      <w:pPr>
        <w:pStyle w:val="24"/>
        <w:numPr>
          <w:ilvl w:val="0"/>
          <w:numId w:val="23"/>
        </w:numPr>
        <w:tabs>
          <w:tab w:val="center" w:pos="851"/>
          <w:tab w:val="clear" w:pos="4201"/>
        </w:tabs>
        <w:spacing w:line="360" w:lineRule="auto"/>
        <w:ind w:firstLineChars="0"/>
        <w:rPr>
          <w:rFonts w:hAnsi="宋体"/>
          <w:szCs w:val="21"/>
        </w:rPr>
      </w:pPr>
      <w:r>
        <w:rPr>
          <w:rFonts w:hint="eastAsia" w:hAnsi="宋体"/>
          <w:szCs w:val="21"/>
        </w:rPr>
        <w:t>舱内压力降至</w:t>
      </w:r>
      <w:r>
        <w:rPr>
          <w:rFonts w:hAnsi="宋体"/>
          <w:szCs w:val="21"/>
        </w:rPr>
        <w:t>1,000</w:t>
      </w:r>
      <w:r>
        <w:rPr>
          <w:rFonts w:ascii="Times New Roman"/>
          <w:szCs w:val="21"/>
        </w:rPr>
        <w:t>Pa</w:t>
      </w:r>
      <w:r>
        <w:rPr>
          <w:rFonts w:hint="eastAsia" w:ascii="Times New Roman"/>
          <w:szCs w:val="21"/>
        </w:rPr>
        <w:t>以</w:t>
      </w:r>
      <w:r>
        <w:rPr>
          <w:rFonts w:hint="eastAsia" w:hAnsi="宋体"/>
          <w:szCs w:val="21"/>
        </w:rPr>
        <w:t>下时；</w:t>
      </w:r>
    </w:p>
    <w:p>
      <w:pPr>
        <w:pStyle w:val="24"/>
        <w:numPr>
          <w:ilvl w:val="0"/>
          <w:numId w:val="23"/>
        </w:numPr>
        <w:tabs>
          <w:tab w:val="center" w:pos="851"/>
          <w:tab w:val="clear" w:pos="4201"/>
        </w:tabs>
        <w:spacing w:line="360" w:lineRule="auto"/>
        <w:ind w:firstLineChars="0"/>
        <w:rPr>
          <w:rFonts w:hAnsi="宋体"/>
          <w:szCs w:val="21"/>
        </w:rPr>
      </w:pPr>
      <w:r>
        <w:rPr>
          <w:rFonts w:hint="eastAsia" w:hAnsi="宋体"/>
          <w:szCs w:val="21"/>
        </w:rPr>
        <w:t>原油洗舱管系发生漏油时；</w:t>
      </w:r>
    </w:p>
    <w:p>
      <w:pPr>
        <w:pStyle w:val="24"/>
        <w:numPr>
          <w:ilvl w:val="0"/>
          <w:numId w:val="23"/>
        </w:numPr>
        <w:tabs>
          <w:tab w:val="center" w:pos="851"/>
          <w:tab w:val="clear" w:pos="4201"/>
        </w:tabs>
        <w:spacing w:line="360" w:lineRule="auto"/>
        <w:ind w:firstLineChars="0"/>
        <w:rPr>
          <w:rFonts w:hAnsi="宋体"/>
          <w:szCs w:val="21"/>
        </w:rPr>
      </w:pPr>
      <w:r>
        <w:rPr>
          <w:rFonts w:hint="eastAsia" w:hAnsi="宋体"/>
          <w:szCs w:val="21"/>
        </w:rPr>
        <w:t>原油洗舱用泵发生故障时；</w:t>
      </w:r>
    </w:p>
    <w:p>
      <w:pPr>
        <w:pStyle w:val="24"/>
        <w:numPr>
          <w:ilvl w:val="0"/>
          <w:numId w:val="23"/>
        </w:numPr>
        <w:tabs>
          <w:tab w:val="center" w:pos="851"/>
          <w:tab w:val="clear" w:pos="4201"/>
        </w:tabs>
        <w:spacing w:line="360" w:lineRule="auto"/>
        <w:ind w:firstLineChars="0"/>
        <w:rPr>
          <w:rFonts w:hAnsi="宋体"/>
          <w:szCs w:val="21"/>
        </w:rPr>
      </w:pPr>
      <w:r>
        <w:rPr>
          <w:rFonts w:hint="eastAsia" w:hAnsi="宋体"/>
          <w:szCs w:val="21"/>
        </w:rPr>
        <w:t>原油洗舱用压力表发生故障时；</w:t>
      </w:r>
    </w:p>
    <w:p>
      <w:pPr>
        <w:pStyle w:val="24"/>
        <w:numPr>
          <w:ilvl w:val="0"/>
          <w:numId w:val="23"/>
        </w:numPr>
        <w:tabs>
          <w:tab w:val="center" w:pos="851"/>
          <w:tab w:val="clear" w:pos="4201"/>
        </w:tabs>
        <w:spacing w:line="360" w:lineRule="auto"/>
        <w:ind w:firstLineChars="0"/>
        <w:rPr>
          <w:rFonts w:hAnsi="宋体"/>
          <w:szCs w:val="21"/>
        </w:rPr>
      </w:pPr>
      <w:r>
        <w:rPr>
          <w:rFonts w:hAnsi="宋体"/>
          <w:szCs w:val="21"/>
        </w:rPr>
        <w:t>货控室</w:t>
      </w:r>
      <w:r>
        <w:rPr>
          <w:rFonts w:hint="eastAsia" w:hAnsi="宋体"/>
          <w:szCs w:val="21"/>
        </w:rPr>
        <w:t>控制机能发生故障时；</w:t>
      </w:r>
    </w:p>
    <w:p>
      <w:pPr>
        <w:pStyle w:val="24"/>
        <w:numPr>
          <w:ilvl w:val="0"/>
          <w:numId w:val="23"/>
        </w:numPr>
        <w:tabs>
          <w:tab w:val="center" w:pos="851"/>
          <w:tab w:val="clear" w:pos="4201"/>
        </w:tabs>
        <w:spacing w:line="360" w:lineRule="auto"/>
        <w:ind w:firstLineChars="0"/>
        <w:rPr>
          <w:rFonts w:hAnsi="宋体"/>
          <w:szCs w:val="21"/>
        </w:rPr>
      </w:pPr>
      <w:r>
        <w:rPr>
          <w:rFonts w:hint="eastAsia" w:hAnsi="宋体"/>
          <w:szCs w:val="21"/>
        </w:rPr>
        <w:t>发生其它紧急情况时。</w:t>
      </w:r>
    </w:p>
    <w:p>
      <w:pPr>
        <w:pStyle w:val="45"/>
        <w:spacing w:before="120" w:after="120" w:line="360" w:lineRule="auto"/>
        <w:jc w:val="both"/>
        <w:rPr>
          <w:rFonts w:ascii="宋体" w:hAnsi="宋体" w:eastAsia="宋体"/>
        </w:rPr>
      </w:pPr>
      <w:bookmarkStart w:id="174" w:name="_Toc513731918"/>
      <w:r>
        <w:rPr>
          <w:rFonts w:hint="eastAsia" w:ascii="宋体" w:hAnsi="宋体" w:eastAsia="宋体"/>
        </w:rPr>
        <w:t>由于</w:t>
      </w:r>
      <w:r>
        <w:rPr>
          <w:rFonts w:ascii="宋体" w:hAnsi="宋体" w:eastAsia="宋体"/>
        </w:rPr>
        <w:t>6.4.4</w:t>
      </w:r>
      <w:r>
        <w:rPr>
          <w:rFonts w:hint="eastAsia" w:ascii="宋体" w:hAnsi="宋体" w:eastAsia="宋体"/>
        </w:rPr>
        <w:t>中任何一种原因而中止原油洗舱作业，再重新开始原油洗舱作业时，应确认中止原因已消除才能恢复原油洗舱作业。</w:t>
      </w:r>
      <w:bookmarkEnd w:id="174"/>
    </w:p>
    <w:p>
      <w:pPr>
        <w:pStyle w:val="88"/>
        <w:spacing w:before="240" w:after="240" w:line="360" w:lineRule="auto"/>
        <w:rPr>
          <w:rFonts w:hAnsi="黑体"/>
          <w:szCs w:val="21"/>
        </w:rPr>
      </w:pPr>
      <w:bookmarkStart w:id="175" w:name="_Toc513731993"/>
      <w:bookmarkStart w:id="176" w:name="_Toc513731919"/>
      <w:bookmarkStart w:id="177" w:name="_Toc513394655"/>
      <w:bookmarkStart w:id="178" w:name="_Toc513732009"/>
      <w:bookmarkStart w:id="179" w:name="_Toc513734085"/>
      <w:r>
        <w:rPr>
          <w:rFonts w:hint="eastAsia" w:hAnsi="黑体"/>
          <w:szCs w:val="21"/>
        </w:rPr>
        <w:t>除气作业</w:t>
      </w:r>
      <w:bookmarkEnd w:id="175"/>
      <w:bookmarkEnd w:id="176"/>
      <w:bookmarkEnd w:id="177"/>
      <w:bookmarkEnd w:id="178"/>
      <w:bookmarkEnd w:id="179"/>
    </w:p>
    <w:p>
      <w:pPr>
        <w:pStyle w:val="46"/>
        <w:spacing w:before="120" w:after="120" w:line="360" w:lineRule="auto"/>
        <w:jc w:val="both"/>
        <w:rPr>
          <w:rFonts w:hAnsi="黑体"/>
        </w:rPr>
      </w:pPr>
      <w:r>
        <w:rPr>
          <w:rFonts w:hint="eastAsia" w:hAnsi="黑体"/>
        </w:rPr>
        <w:t>准备工作</w:t>
      </w:r>
    </w:p>
    <w:p>
      <w:pPr>
        <w:pStyle w:val="45"/>
        <w:spacing w:before="120" w:after="120" w:line="360" w:lineRule="auto"/>
        <w:jc w:val="both"/>
        <w:rPr>
          <w:rFonts w:ascii="宋体" w:hAnsi="宋体" w:eastAsia="宋体"/>
        </w:rPr>
      </w:pPr>
      <w:bookmarkStart w:id="180" w:name="_Toc513731921"/>
      <w:r>
        <w:rPr>
          <w:rFonts w:hint="eastAsia" w:ascii="宋体" w:hAnsi="宋体" w:eastAsia="宋体"/>
        </w:rPr>
        <w:t>除气作业前，应制定除气作业计划，经作业负责人签字后方可实施。该计划应包括通风除气的方式、延续时间、使用的设备以及达到的除气标准等内容。</w:t>
      </w:r>
      <w:bookmarkEnd w:id="180"/>
    </w:p>
    <w:p>
      <w:pPr>
        <w:pStyle w:val="45"/>
        <w:spacing w:before="120" w:after="120" w:line="360" w:lineRule="auto"/>
        <w:jc w:val="both"/>
        <w:rPr>
          <w:rFonts w:ascii="宋体" w:hAnsi="宋体" w:eastAsia="宋体"/>
        </w:rPr>
      </w:pPr>
      <w:bookmarkStart w:id="181" w:name="_Toc513731922"/>
      <w:r>
        <w:rPr>
          <w:rFonts w:hint="eastAsia" w:ascii="宋体" w:hAnsi="宋体" w:eastAsia="宋体"/>
        </w:rPr>
        <w:t>备妥通风除气设备，并确认其在安全可用状态。</w:t>
      </w:r>
      <w:bookmarkEnd w:id="181"/>
    </w:p>
    <w:p>
      <w:pPr>
        <w:pStyle w:val="45"/>
        <w:spacing w:before="120" w:after="120" w:line="360" w:lineRule="auto"/>
        <w:jc w:val="both"/>
        <w:rPr>
          <w:rFonts w:ascii="宋体" w:hAnsi="宋体" w:eastAsia="宋体"/>
        </w:rPr>
      </w:pPr>
      <w:bookmarkStart w:id="182" w:name="_Toc513731923"/>
      <w:r>
        <w:rPr>
          <w:rFonts w:hint="eastAsia" w:ascii="宋体" w:hAnsi="宋体" w:eastAsia="宋体"/>
        </w:rPr>
        <w:t>通知船上全体人员及临近船舶或港方等，遵守一切有关安全事项。</w:t>
      </w:r>
      <w:bookmarkEnd w:id="182"/>
    </w:p>
    <w:p>
      <w:pPr>
        <w:pStyle w:val="45"/>
        <w:spacing w:before="120" w:after="120" w:line="360" w:lineRule="auto"/>
        <w:jc w:val="both"/>
        <w:rPr>
          <w:rFonts w:ascii="宋体" w:hAnsi="宋体" w:eastAsia="宋体"/>
        </w:rPr>
      </w:pPr>
      <w:bookmarkStart w:id="183" w:name="_Toc513731924"/>
      <w:r>
        <w:rPr>
          <w:rFonts w:hint="eastAsia" w:ascii="宋体" w:hAnsi="宋体" w:eastAsia="宋体"/>
        </w:rPr>
        <w:t>如靠泊码头，则应在开始作业前征求岸方意见，确定除气作业对码头无危险并得到同意方可开始。</w:t>
      </w:r>
      <w:bookmarkEnd w:id="183"/>
    </w:p>
    <w:p>
      <w:pPr>
        <w:pStyle w:val="45"/>
        <w:spacing w:before="120" w:after="120" w:line="360" w:lineRule="auto"/>
        <w:jc w:val="both"/>
        <w:rPr>
          <w:rFonts w:ascii="宋体" w:hAnsi="宋体" w:eastAsia="宋体"/>
        </w:rPr>
      </w:pPr>
      <w:bookmarkStart w:id="184" w:name="_Toc513731925"/>
      <w:r>
        <w:rPr>
          <w:rFonts w:hint="eastAsia" w:ascii="宋体" w:hAnsi="宋体" w:eastAsia="宋体"/>
        </w:rPr>
        <w:t>舱室空调采用内循环方式。</w:t>
      </w:r>
      <w:bookmarkEnd w:id="184"/>
    </w:p>
    <w:p>
      <w:pPr>
        <w:pStyle w:val="46"/>
        <w:spacing w:before="120" w:after="120" w:line="360" w:lineRule="auto"/>
        <w:jc w:val="both"/>
        <w:rPr>
          <w:rFonts w:hAnsi="黑体"/>
        </w:rPr>
      </w:pPr>
      <w:r>
        <w:rPr>
          <w:rFonts w:hint="eastAsia" w:hAnsi="黑体"/>
        </w:rPr>
        <w:t>作业程序</w:t>
      </w:r>
    </w:p>
    <w:p>
      <w:pPr>
        <w:pStyle w:val="45"/>
        <w:spacing w:before="120" w:after="120"/>
      </w:pPr>
      <w:bookmarkStart w:id="185" w:name="_Toc513731927"/>
      <w:r>
        <w:rPr>
          <w:rFonts w:hint="eastAsia"/>
        </w:rPr>
        <w:t>装有惰性气体系统的除气程序</w:t>
      </w:r>
      <w:bookmarkEnd w:id="185"/>
    </w:p>
    <w:p>
      <w:pPr>
        <w:pStyle w:val="44"/>
        <w:numPr>
          <w:ilvl w:val="3"/>
          <w:numId w:val="2"/>
        </w:numPr>
        <w:spacing w:before="120" w:after="120" w:line="360" w:lineRule="auto"/>
        <w:jc w:val="both"/>
        <w:rPr>
          <w:rFonts w:ascii="宋体" w:hAnsi="宋体" w:eastAsia="宋体"/>
        </w:rPr>
      </w:pPr>
      <w:r>
        <w:rPr>
          <w:rFonts w:hint="eastAsia" w:ascii="宋体" w:hAnsi="宋体" w:eastAsia="宋体"/>
        </w:rPr>
        <w:t>首先应采用船舶规定的排气管进行货舱驱气，直至货舱内烃气浓度(按体积计算</w:t>
      </w:r>
      <w:r>
        <w:rPr>
          <w:rFonts w:ascii="宋体" w:hAnsi="宋体" w:eastAsia="宋体"/>
        </w:rPr>
        <w:t>)</w:t>
      </w:r>
      <w:r>
        <w:rPr>
          <w:rFonts w:hint="eastAsia" w:ascii="宋体" w:hAnsi="宋体" w:eastAsia="宋体"/>
        </w:rPr>
        <w:t>降至</w:t>
      </w:r>
      <w:r>
        <w:rPr>
          <w:rFonts w:ascii="Times New Roman" w:eastAsia="宋体"/>
        </w:rPr>
        <w:t>2</w:t>
      </w:r>
      <w:r>
        <w:rPr>
          <w:rFonts w:hint="eastAsia" w:ascii="Times New Roman" w:eastAsia="宋体"/>
        </w:rPr>
        <w:t>％</w:t>
      </w:r>
      <w:r>
        <w:rPr>
          <w:rFonts w:hint="eastAsia" w:ascii="宋体" w:hAnsi="宋体" w:eastAsia="宋体"/>
        </w:rPr>
        <w:t>以下。在此之后，可在货舱甲板面上进行除气作业。驱气时惰气应以低速送入货舱，以防止不利的气体搅动。</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用可在缺氧环境中测定烃气百分比浓度的仪器(常用的测爆仪不适用于此情况)测定舱内烃气浓度，确认其值在</w:t>
      </w:r>
      <w:r>
        <w:rPr>
          <w:rFonts w:ascii="Times New Roman" w:eastAsia="宋体"/>
        </w:rPr>
        <w:t>2</w:t>
      </w:r>
      <w:r>
        <w:rPr>
          <w:rFonts w:hint="eastAsia" w:ascii="Times New Roman" w:eastAsia="宋体"/>
        </w:rPr>
        <w:t>％</w:t>
      </w:r>
      <w:r>
        <w:rPr>
          <w:rFonts w:hint="eastAsia" w:ascii="宋体" w:hAnsi="宋体" w:eastAsia="宋体"/>
        </w:rPr>
        <w:t>以下。</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货舱开始除气前，应与其它货舱隔离。用移动式风扇或鼓风机向货舱送入空气时，应使用帆布风筒并将风筒边连接于风扇或鼓风机上，风筒下端伸到舱里距舱底</w:t>
      </w:r>
      <w:r>
        <w:rPr>
          <w:rFonts w:ascii="Times New Roman" w:eastAsia="宋体"/>
        </w:rPr>
        <w:t>1m</w:t>
      </w:r>
      <w:r>
        <w:rPr>
          <w:rFonts w:hint="eastAsia" w:ascii="宋体" w:hAnsi="宋体" w:eastAsia="宋体"/>
        </w:rPr>
        <w:t>处，风扇或鼓风机应装在舱口最远处的对角线上。将舱口盖打开，惰气入口应关闭。</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也可采用稀释法除气，即使用惰性气体系统的风机经惰气管路直接向舱内送空气进行除气。但应将惰气风机调到最大容量，以便舱内气体产生最大的挠动。并应将返回惰气源的管路以及惰化状态货舱的惰气入口关闭。</w:t>
      </w:r>
    </w:p>
    <w:p>
      <w:pPr>
        <w:pStyle w:val="45"/>
        <w:spacing w:before="120" w:after="120"/>
      </w:pPr>
      <w:bookmarkStart w:id="186" w:name="_Toc513731928"/>
      <w:r>
        <w:rPr>
          <w:rFonts w:hint="eastAsia"/>
        </w:rPr>
        <w:t>未装有惰气系统的除气程序</w:t>
      </w:r>
      <w:bookmarkEnd w:id="186"/>
    </w:p>
    <w:p>
      <w:pPr>
        <w:pStyle w:val="44"/>
        <w:numPr>
          <w:ilvl w:val="3"/>
          <w:numId w:val="2"/>
        </w:numPr>
        <w:spacing w:before="120" w:after="120" w:line="360" w:lineRule="auto"/>
        <w:jc w:val="both"/>
        <w:rPr>
          <w:rFonts w:ascii="宋体" w:hAnsi="宋体" w:eastAsia="宋体"/>
        </w:rPr>
      </w:pPr>
      <w:r>
        <w:rPr>
          <w:rFonts w:hint="eastAsia" w:ascii="宋体" w:hAnsi="宋体" w:eastAsia="宋体"/>
        </w:rPr>
        <w:t>首先应采用船舶规定的排气管进行除气，如果出口处的易燃蒸气浓度已减至LFL的30%，可在货舱甲板面上继续除气。</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货舱甲板面除气期间，应调整通风速率和开口数量以使排出速度足以将舱气带离甲板区。</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将移动式风扇或鼓风机装在透气出口(舱口</w:t>
      </w:r>
      <w:r>
        <w:rPr>
          <w:rFonts w:ascii="宋体" w:hAnsi="宋体" w:eastAsia="宋体"/>
        </w:rPr>
        <w:t>)</w:t>
      </w:r>
      <w:r>
        <w:rPr>
          <w:rFonts w:hint="eastAsia" w:ascii="宋体" w:hAnsi="宋体" w:eastAsia="宋体"/>
        </w:rPr>
        <w:t>对角线最远处的洗舱孔上，并连接帆布风筒，风筒下端伸至舱里距舱底</w:t>
      </w:r>
      <w:r>
        <w:rPr>
          <w:rFonts w:ascii="宋体" w:hAnsi="宋体" w:eastAsia="宋体"/>
        </w:rPr>
        <w:t>1</w:t>
      </w:r>
      <w:r>
        <w:rPr>
          <w:rFonts w:ascii="Times New Roman" w:eastAsia="宋体"/>
        </w:rPr>
        <w:t>m</w:t>
      </w:r>
      <w:r>
        <w:rPr>
          <w:rFonts w:hint="eastAsia" w:ascii="Times New Roman" w:eastAsia="宋体"/>
        </w:rPr>
        <w:t>处</w:t>
      </w:r>
      <w:r>
        <w:rPr>
          <w:rFonts w:hint="eastAsia" w:ascii="宋体" w:hAnsi="宋体" w:eastAsia="宋体"/>
        </w:rPr>
        <w:t>。将透气出口(舱口)盖打开。</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在单独货舱即将正式通风之前，所有开口均应关闭。</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各货舱使用公共通风系统时，每个货舱均应完全隔离，以防油气串通。</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固定式除气设备可以同时用于一个以上的货舱除气作业，但当某一货舱正在进行洗舱作业时，则该除气设备不应进行多舱除气作业。如货舱通过多台固定式除气设备除气，除了使用中的鼓风设备外，货舱管系与其他鼓风设备之间的所有接头应加装盲板。在固定式除气系统使用前，货油管系应用水进行冲洗并将货舱扫净。除通风所需之外的系统阀门应关闭并紧固。</w:t>
      </w:r>
    </w:p>
    <w:p>
      <w:pPr>
        <w:pStyle w:val="45"/>
        <w:spacing w:before="120" w:after="120"/>
        <w:rPr>
          <w:rFonts w:ascii="Times New Roman"/>
        </w:rPr>
      </w:pPr>
      <w:bookmarkStart w:id="187" w:name="_Toc513731929"/>
      <w:bookmarkStart w:id="188" w:name="_Toc464089352"/>
      <w:r>
        <w:rPr>
          <w:rFonts w:hint="eastAsia"/>
        </w:rPr>
        <w:t>其他舱室的除气</w:t>
      </w:r>
      <w:bookmarkEnd w:id="187"/>
    </w:p>
    <w:p>
      <w:pPr>
        <w:pStyle w:val="24"/>
        <w:spacing w:line="360" w:lineRule="auto"/>
        <w:rPr>
          <w:rFonts w:hAnsi="宋体"/>
          <w:szCs w:val="21"/>
        </w:rPr>
      </w:pPr>
      <w:r>
        <w:rPr>
          <w:rFonts w:hint="eastAsia" w:ascii="Times New Roman"/>
          <w:szCs w:val="21"/>
        </w:rPr>
        <w:t>在需要的情况下其它舱室的除气，诸如专用压载舱</w:t>
      </w:r>
      <w:r>
        <w:rPr>
          <w:rFonts w:hint="eastAsia" w:ascii="新宋体" w:hAnsi="新宋体" w:eastAsia="新宋体"/>
          <w:szCs w:val="21"/>
        </w:rPr>
        <w:t>(</w:t>
      </w:r>
      <w:r>
        <w:rPr>
          <w:rFonts w:ascii="Times New Roman" w:eastAsia="新宋体"/>
          <w:szCs w:val="21"/>
        </w:rPr>
        <w:t>SBT</w:t>
      </w:r>
      <w:r>
        <w:rPr>
          <w:rFonts w:hint="eastAsia" w:ascii="新宋体" w:hAnsi="新宋体" w:eastAsia="新宋体"/>
          <w:szCs w:val="21"/>
        </w:rPr>
        <w:t>)</w:t>
      </w:r>
      <w:r>
        <w:rPr>
          <w:rFonts w:hint="eastAsia" w:hAnsi="宋体"/>
          <w:szCs w:val="21"/>
        </w:rPr>
        <w:t>、干隔舱等，应采取安全有效的方法进行。</w:t>
      </w:r>
      <w:bookmarkEnd w:id="188"/>
    </w:p>
    <w:p>
      <w:pPr>
        <w:pStyle w:val="45"/>
        <w:spacing w:before="120" w:after="120"/>
      </w:pPr>
      <w:bookmarkStart w:id="189" w:name="_Toc513731930"/>
      <w:r>
        <w:rPr>
          <w:rFonts w:hint="eastAsia"/>
        </w:rPr>
        <w:t>不戴呼吸器具入舱的除气</w:t>
      </w:r>
      <w:bookmarkEnd w:id="189"/>
    </w:p>
    <w:p>
      <w:pPr>
        <w:pStyle w:val="24"/>
        <w:spacing w:line="360" w:lineRule="auto"/>
        <w:rPr>
          <w:rFonts w:hAnsi="宋体"/>
          <w:szCs w:val="21"/>
        </w:rPr>
      </w:pPr>
      <w:r>
        <w:rPr>
          <w:rFonts w:hint="eastAsia" w:hAnsi="宋体"/>
          <w:szCs w:val="21"/>
        </w:rPr>
        <w:t>对除气后可不戴呼吸器具进入的货舱或封闭空间，应除气直到气体检测确认整个空间的烃气浓度不超</w:t>
      </w:r>
      <w:r>
        <w:rPr>
          <w:rFonts w:hint="eastAsia" w:ascii="Times New Roman"/>
          <w:szCs w:val="21"/>
        </w:rPr>
        <w:t>过LFL</w:t>
      </w:r>
      <w:r>
        <w:rPr>
          <w:rFonts w:hint="eastAsia" w:hAnsi="宋体"/>
          <w:szCs w:val="21"/>
        </w:rPr>
        <w:t>的1％，同时氧气含量达到总容积的21％，还应确认其他有毒物质浓度低于其</w:t>
      </w:r>
      <w:r>
        <w:rPr>
          <w:rFonts w:ascii="Times New Roman"/>
          <w:szCs w:val="21"/>
        </w:rPr>
        <w:t>TLV-TWA</w:t>
      </w:r>
      <w:r>
        <w:rPr>
          <w:rFonts w:hint="eastAsia" w:hAnsi="宋体"/>
          <w:szCs w:val="21"/>
        </w:rPr>
        <w:t>(硫化氢</w:t>
      </w:r>
      <w:r>
        <w:rPr>
          <w:rFonts w:hint="eastAsia" w:ascii="Times New Roman"/>
          <w:szCs w:val="21"/>
        </w:rPr>
        <w:t>的TLV</w:t>
      </w:r>
      <w:r>
        <w:rPr>
          <w:rFonts w:ascii="Times New Roman"/>
          <w:szCs w:val="21"/>
        </w:rPr>
        <w:t>-T</w:t>
      </w:r>
      <w:r>
        <w:rPr>
          <w:rFonts w:hint="eastAsia" w:ascii="Times New Roman"/>
          <w:szCs w:val="21"/>
        </w:rPr>
        <w:t>WA为</w:t>
      </w:r>
      <w:r>
        <w:rPr>
          <w:rFonts w:hint="eastAsia" w:hAnsi="宋体"/>
          <w:szCs w:val="21"/>
        </w:rPr>
        <w:t>5</w:t>
      </w:r>
      <w:r>
        <w:rPr>
          <w:rFonts w:hint="eastAsia" w:ascii="Times New Roman"/>
          <w:szCs w:val="21"/>
        </w:rPr>
        <w:t>mg/l</w:t>
      </w:r>
      <w:r>
        <w:rPr>
          <w:rFonts w:hint="eastAsia" w:hAnsi="宋体"/>
          <w:szCs w:val="21"/>
        </w:rPr>
        <w:t>、苯的</w:t>
      </w:r>
      <w:r>
        <w:rPr>
          <w:rFonts w:ascii="Times New Roman"/>
          <w:szCs w:val="21"/>
        </w:rPr>
        <w:t>TLV-TWA</w:t>
      </w:r>
      <w:r>
        <w:rPr>
          <w:rFonts w:hint="eastAsia" w:hAnsi="宋体"/>
          <w:szCs w:val="21"/>
        </w:rPr>
        <w:t>为1</w:t>
      </w:r>
      <w:r>
        <w:rPr>
          <w:rFonts w:hint="eastAsia" w:ascii="Times New Roman"/>
          <w:szCs w:val="21"/>
        </w:rPr>
        <w:t>mg/l</w:t>
      </w:r>
      <w:r>
        <w:rPr>
          <w:rFonts w:hint="eastAsia" w:hAnsi="宋体"/>
          <w:szCs w:val="21"/>
        </w:rPr>
        <w:t>)。</w:t>
      </w:r>
    </w:p>
    <w:p>
      <w:pPr>
        <w:pStyle w:val="45"/>
        <w:spacing w:before="120" w:after="120"/>
      </w:pPr>
      <w:bookmarkStart w:id="190" w:name="_Toc513731931"/>
      <w:r>
        <w:rPr>
          <w:rFonts w:hint="eastAsia"/>
        </w:rPr>
        <w:t>为热工作业的除气</w:t>
      </w:r>
      <w:bookmarkEnd w:id="190"/>
    </w:p>
    <w:p>
      <w:pPr>
        <w:pStyle w:val="44"/>
        <w:numPr>
          <w:ilvl w:val="3"/>
          <w:numId w:val="2"/>
        </w:numPr>
        <w:spacing w:before="120" w:after="120" w:line="360" w:lineRule="auto"/>
        <w:jc w:val="both"/>
        <w:rPr>
          <w:rFonts w:ascii="宋体" w:hAnsi="宋体" w:eastAsia="宋体"/>
        </w:rPr>
      </w:pPr>
      <w:r>
        <w:rPr>
          <w:rFonts w:hint="eastAsia" w:ascii="宋体" w:hAnsi="宋体" w:eastAsia="宋体"/>
        </w:rPr>
        <w:t>对准备进行热工作业的货舱，应满足</w:t>
      </w:r>
      <w:r>
        <w:rPr>
          <w:rFonts w:ascii="宋体" w:hAnsi="宋体" w:eastAsia="宋体"/>
        </w:rPr>
        <w:t>7.2.4</w:t>
      </w:r>
      <w:r>
        <w:rPr>
          <w:rFonts w:hint="eastAsia" w:ascii="宋体" w:hAnsi="宋体" w:eastAsia="宋体"/>
        </w:rPr>
        <w:t>要求，且热工作业期间应保持连续通风。</w:t>
      </w:r>
    </w:p>
    <w:p>
      <w:pPr>
        <w:pStyle w:val="44"/>
        <w:numPr>
          <w:ilvl w:val="3"/>
          <w:numId w:val="2"/>
        </w:numPr>
        <w:spacing w:before="120" w:after="120" w:line="360" w:lineRule="auto"/>
        <w:jc w:val="both"/>
        <w:rPr>
          <w:rFonts w:ascii="宋体" w:hAnsi="宋体" w:eastAsia="宋体"/>
        </w:rPr>
      </w:pPr>
      <w:r>
        <w:rPr>
          <w:rFonts w:hint="eastAsia" w:ascii="宋体" w:hAnsi="宋体" w:eastAsia="宋体"/>
        </w:rPr>
        <w:t>相邻各货舱，包括斜对角位置货舱，应经清洁和除气达到热工作业标准，或清洁后烃气体积含量降到不超过1％并且保持惰化，或用水完全充满。未除气的其他货舱应经驱气使烃气体积含量低于2％，并保持惰化和关闭。</w:t>
      </w:r>
    </w:p>
    <w:p>
      <w:pPr>
        <w:pStyle w:val="46"/>
        <w:spacing w:before="120" w:after="120" w:line="360" w:lineRule="auto"/>
        <w:jc w:val="both"/>
        <w:rPr>
          <w:rFonts w:hAnsi="黑体"/>
        </w:rPr>
      </w:pPr>
      <w:bookmarkStart w:id="191" w:name="_Toc513731932"/>
      <w:bookmarkStart w:id="192" w:name="_Toc513731996"/>
      <w:bookmarkStart w:id="193" w:name="_Toc513394658"/>
      <w:r>
        <w:rPr>
          <w:rFonts w:hint="eastAsia" w:hAnsi="黑体"/>
        </w:rPr>
        <w:t>其他</w:t>
      </w:r>
      <w:bookmarkEnd w:id="191"/>
      <w:bookmarkEnd w:id="192"/>
      <w:bookmarkEnd w:id="193"/>
    </w:p>
    <w:p>
      <w:pPr>
        <w:pStyle w:val="45"/>
        <w:spacing w:before="120" w:after="120" w:line="360" w:lineRule="auto"/>
        <w:jc w:val="both"/>
        <w:rPr>
          <w:rFonts w:ascii="宋体" w:hAnsi="宋体" w:eastAsia="宋体"/>
        </w:rPr>
      </w:pPr>
      <w:bookmarkStart w:id="194" w:name="_Toc513731933"/>
      <w:r>
        <w:rPr>
          <w:rFonts w:hint="eastAsia" w:ascii="宋体" w:hAnsi="宋体" w:eastAsia="宋体"/>
        </w:rPr>
        <w:t xml:space="preserve">除气作业过程中为监控除气进度，应定期对舱气进行检测。应在两个测点测定，上部测点不应低于货舱顶部1 </w:t>
      </w:r>
      <w:r>
        <w:rPr>
          <w:rFonts w:hint="eastAsia" w:ascii="Times New Roman" w:eastAsia="宋体"/>
        </w:rPr>
        <w:t>m，</w:t>
      </w:r>
      <w:r>
        <w:rPr>
          <w:rFonts w:hint="eastAsia" w:ascii="宋体" w:hAnsi="宋体" w:eastAsia="宋体"/>
        </w:rPr>
        <w:t>下部测点应高于船底外板桁材高度，但应距货舱底部至少0.5</w:t>
      </w:r>
      <w:r>
        <w:rPr>
          <w:rFonts w:hint="eastAsia" w:ascii="Times New Roman" w:eastAsia="宋体"/>
        </w:rPr>
        <w:t>m</w:t>
      </w:r>
      <w:r>
        <w:rPr>
          <w:rFonts w:hint="eastAsia" w:ascii="宋体" w:hAnsi="宋体" w:eastAsia="宋体"/>
        </w:rPr>
        <w:t>。货舱除气作业完成后，应等10</w:t>
      </w:r>
      <w:r>
        <w:rPr>
          <w:rFonts w:ascii="Times New Roman" w:eastAsia="宋体"/>
        </w:rPr>
        <w:t>min</w:t>
      </w:r>
      <w:r>
        <w:rPr>
          <w:rFonts w:hint="eastAsia" w:ascii="宋体" w:hAnsi="宋体" w:eastAsia="宋体"/>
        </w:rPr>
        <w:t>才能进行气体检测工作，以求气体的相对稳定，若检测后不符合标准，应继续进行通风除气。</w:t>
      </w:r>
      <w:bookmarkEnd w:id="194"/>
    </w:p>
    <w:p>
      <w:pPr>
        <w:pStyle w:val="45"/>
        <w:spacing w:before="120" w:after="120" w:line="360" w:lineRule="auto"/>
        <w:jc w:val="both"/>
        <w:rPr>
          <w:rFonts w:ascii="宋体" w:hAnsi="宋体" w:eastAsia="宋体"/>
        </w:rPr>
      </w:pPr>
      <w:bookmarkStart w:id="195" w:name="_Toc513731934"/>
      <w:r>
        <w:rPr>
          <w:rFonts w:hint="eastAsia" w:ascii="宋体" w:hAnsi="宋体" w:eastAsia="宋体"/>
        </w:rPr>
        <w:t>在除气作业完成后，应仔细检查通风系统，特别要注意检查压力/真空阀(</w:t>
      </w:r>
      <w:r>
        <w:rPr>
          <w:rFonts w:ascii="Times New Roman" w:eastAsia="宋体"/>
        </w:rPr>
        <w:t>P/V</w:t>
      </w:r>
      <w:r>
        <w:rPr>
          <w:rFonts w:hint="eastAsia" w:ascii="宋体" w:hAnsi="宋体" w:eastAsia="宋体"/>
        </w:rPr>
        <w:t>阀)以及高速透气阀的完好程度。同时，还应检查并清理装有防止火焰罩的阀门或通风竖管。</w:t>
      </w:r>
      <w:bookmarkEnd w:id="195"/>
    </w:p>
    <w:p>
      <w:pPr>
        <w:pStyle w:val="45"/>
        <w:spacing w:before="120" w:after="120" w:line="360" w:lineRule="auto"/>
        <w:jc w:val="both"/>
        <w:rPr>
          <w:rFonts w:ascii="宋体" w:hAnsi="宋体" w:eastAsia="宋体"/>
        </w:rPr>
      </w:pPr>
      <w:bookmarkStart w:id="196" w:name="_Toc513731935"/>
      <w:r>
        <w:rPr>
          <w:rFonts w:hint="eastAsia" w:ascii="宋体" w:hAnsi="宋体" w:eastAsia="宋体"/>
        </w:rPr>
        <w:t>除气作业不应与货油装卸作业同时进行。如确需如此，须征得港口与码头方同意。</w:t>
      </w:r>
      <w:bookmarkEnd w:id="196"/>
    </w:p>
    <w:p>
      <w:pPr>
        <w:pStyle w:val="45"/>
        <w:spacing w:before="120" w:after="120" w:line="360" w:lineRule="auto"/>
        <w:jc w:val="both"/>
        <w:rPr>
          <w:rFonts w:ascii="宋体" w:hAnsi="宋体" w:eastAsia="宋体"/>
        </w:rPr>
      </w:pPr>
      <w:bookmarkStart w:id="197" w:name="_Toc513731937"/>
      <w:r>
        <w:rPr>
          <w:rFonts w:hint="eastAsia" w:ascii="宋体" w:hAnsi="宋体" w:eastAsia="宋体"/>
        </w:rPr>
        <w:t>如烃气在甲板上浓度较高，则应停止除气。</w:t>
      </w:r>
      <w:bookmarkEnd w:id="197"/>
    </w:p>
    <w:p>
      <w:pPr>
        <w:pStyle w:val="45"/>
        <w:spacing w:before="120" w:after="120" w:line="360" w:lineRule="auto"/>
        <w:jc w:val="both"/>
        <w:rPr>
          <w:rFonts w:ascii="宋体" w:hAnsi="宋体" w:eastAsia="宋体"/>
        </w:rPr>
      </w:pPr>
      <w:bookmarkStart w:id="198" w:name="_Toc513731938"/>
      <w:r>
        <w:rPr>
          <w:rFonts w:hint="eastAsia" w:ascii="宋体" w:hAnsi="宋体" w:eastAsia="宋体"/>
        </w:rPr>
        <w:t>如风使得烟囱火花掉落到甲板上，应停止除气。</w:t>
      </w:r>
      <w:bookmarkEnd w:id="198"/>
    </w:p>
    <w:p>
      <w:pPr>
        <w:pStyle w:val="45"/>
        <w:spacing w:before="120" w:after="120" w:line="360" w:lineRule="auto"/>
        <w:jc w:val="both"/>
        <w:rPr>
          <w:rFonts w:ascii="宋体" w:hAnsi="宋体" w:eastAsia="宋体"/>
        </w:rPr>
      </w:pPr>
      <w:bookmarkStart w:id="199" w:name="_Toc513731939"/>
      <w:r>
        <w:rPr>
          <w:rFonts w:hint="eastAsia" w:ascii="宋体" w:hAnsi="宋体" w:eastAsia="宋体"/>
        </w:rPr>
        <w:t>处在封闭或半封闭空间的货舱开口，比如在艏楼或中央楼下，在使用该舱其他外部开口先行充分通风之前，不应打开这些开口。通风后，当该舱烃气浓度降到</w:t>
      </w:r>
      <w:r>
        <w:rPr>
          <w:rFonts w:ascii="宋体" w:hAnsi="宋体" w:eastAsia="宋体"/>
        </w:rPr>
        <w:t>LFL</w:t>
      </w:r>
      <w:r>
        <w:rPr>
          <w:rFonts w:hint="eastAsia" w:ascii="宋体" w:hAnsi="宋体" w:eastAsia="宋体"/>
        </w:rPr>
        <w:t>的</w:t>
      </w:r>
      <w:r>
        <w:rPr>
          <w:rFonts w:ascii="宋体" w:hAnsi="宋体" w:eastAsia="宋体"/>
        </w:rPr>
        <w:t>25%</w:t>
      </w:r>
      <w:r>
        <w:rPr>
          <w:rFonts w:hint="eastAsia" w:ascii="宋体" w:hAnsi="宋体" w:eastAsia="宋体"/>
        </w:rPr>
        <w:t>或以下，才可打开这些位于封闭或半封闭空间内的开口以完成通风。随后的通风时间内还应对这些封闭或半封闭空间进行气体检测。</w:t>
      </w:r>
      <w:bookmarkEnd w:id="199"/>
    </w:p>
    <w:p>
      <w:pPr>
        <w:pStyle w:val="88"/>
        <w:spacing w:before="240" w:after="240" w:line="360" w:lineRule="auto"/>
        <w:rPr>
          <w:rFonts w:hAnsi="黑体"/>
          <w:szCs w:val="21"/>
        </w:rPr>
      </w:pPr>
      <w:bookmarkStart w:id="200" w:name="_Toc513394659"/>
      <w:bookmarkStart w:id="201" w:name="_Toc513731940"/>
      <w:bookmarkStart w:id="202" w:name="_Toc513731997"/>
      <w:bookmarkStart w:id="203" w:name="_Toc513732010"/>
      <w:bookmarkStart w:id="204" w:name="_Toc513734086"/>
      <w:r>
        <w:rPr>
          <w:rFonts w:hint="eastAsia" w:hAnsi="黑体"/>
          <w:szCs w:val="21"/>
        </w:rPr>
        <w:t>应急反应</w:t>
      </w:r>
      <w:bookmarkEnd w:id="200"/>
      <w:bookmarkEnd w:id="201"/>
      <w:bookmarkEnd w:id="202"/>
      <w:bookmarkEnd w:id="203"/>
      <w:bookmarkEnd w:id="204"/>
    </w:p>
    <w:p>
      <w:pPr>
        <w:pStyle w:val="46"/>
        <w:spacing w:before="120" w:after="120" w:line="360" w:lineRule="auto"/>
        <w:jc w:val="both"/>
        <w:rPr>
          <w:rFonts w:ascii="宋体" w:hAnsi="宋体" w:eastAsia="宋体"/>
        </w:rPr>
      </w:pPr>
      <w:bookmarkStart w:id="205" w:name="_Toc464089354"/>
      <w:bookmarkStart w:id="206" w:name="_Toc513394660"/>
      <w:bookmarkStart w:id="207" w:name="_Toc513731941"/>
      <w:bookmarkStart w:id="208" w:name="_Toc513731998"/>
      <w:r>
        <w:rPr>
          <w:rFonts w:hint="eastAsia" w:ascii="宋体" w:hAnsi="宋体" w:eastAsia="宋体"/>
        </w:rPr>
        <w:t>参与清洗舱作业的船舶应有清洗舱安全和防污染的应急预案。</w:t>
      </w:r>
      <w:bookmarkEnd w:id="205"/>
      <w:bookmarkEnd w:id="206"/>
      <w:bookmarkEnd w:id="207"/>
      <w:bookmarkEnd w:id="208"/>
    </w:p>
    <w:p>
      <w:pPr>
        <w:pStyle w:val="46"/>
        <w:spacing w:before="120" w:after="120" w:line="360" w:lineRule="auto"/>
        <w:jc w:val="both"/>
        <w:rPr>
          <w:rFonts w:ascii="宋体" w:hAnsi="宋体" w:eastAsia="宋体"/>
        </w:rPr>
      </w:pPr>
      <w:bookmarkStart w:id="209" w:name="_Toc464089355"/>
      <w:bookmarkStart w:id="210" w:name="_Toc513394661"/>
      <w:bookmarkStart w:id="211" w:name="_Toc513731942"/>
      <w:bookmarkStart w:id="212" w:name="_Toc513731999"/>
      <w:bookmarkStart w:id="213" w:name="_Toc464089356"/>
      <w:bookmarkStart w:id="214" w:name="_Toc513394662"/>
      <w:r>
        <w:rPr>
          <w:rFonts w:hint="eastAsia" w:ascii="宋体" w:hAnsi="宋体" w:eastAsia="宋体"/>
        </w:rPr>
        <w:t>清洗舱作业中，应做好应急准备工作，当出现紧急情况时立即启动应急预案。</w:t>
      </w:r>
      <w:bookmarkEnd w:id="209"/>
      <w:bookmarkEnd w:id="210"/>
      <w:bookmarkEnd w:id="211"/>
      <w:bookmarkEnd w:id="212"/>
    </w:p>
    <w:p>
      <w:pPr>
        <w:pStyle w:val="46"/>
        <w:spacing w:before="120" w:after="120" w:line="360" w:lineRule="auto"/>
        <w:jc w:val="both"/>
        <w:rPr>
          <w:rFonts w:ascii="宋体" w:hAnsi="宋体" w:eastAsia="宋体"/>
        </w:rPr>
      </w:pPr>
      <w:bookmarkStart w:id="215" w:name="_Toc513731943"/>
      <w:bookmarkStart w:id="216" w:name="_Toc513732000"/>
      <w:r>
        <w:rPr>
          <w:rFonts w:hint="eastAsia" w:ascii="宋体" w:hAnsi="宋体" w:eastAsia="宋体"/>
        </w:rPr>
        <w:t>应定期开展清洗舱安全和防污染应急演练，不断完善应急预案。</w:t>
      </w:r>
      <w:bookmarkEnd w:id="213"/>
      <w:bookmarkEnd w:id="214"/>
      <w:bookmarkEnd w:id="215"/>
      <w:bookmarkEnd w:id="216"/>
    </w:p>
    <w:p>
      <w:pPr>
        <w:pStyle w:val="24"/>
        <w:sectPr>
          <w:headerReference r:id="rId9" w:type="default"/>
          <w:footerReference r:id="rId11" w:type="default"/>
          <w:headerReference r:id="rId10" w:type="even"/>
          <w:footerReference r:id="rId12" w:type="even"/>
          <w:pgSz w:w="11906" w:h="16838"/>
          <w:pgMar w:top="851" w:right="1134" w:bottom="1134" w:left="1418" w:header="1418" w:footer="1134" w:gutter="0"/>
          <w:pgNumType w:start="1"/>
          <w:cols w:space="720" w:num="1"/>
          <w:formProt w:val="0"/>
          <w:docGrid w:linePitch="312"/>
        </w:sectPr>
      </w:pPr>
    </w:p>
    <w:p>
      <w:pPr>
        <w:pStyle w:val="70"/>
        <w:numPr>
          <w:ilvl w:val="0"/>
          <w:numId w:val="0"/>
        </w:numPr>
        <w:spacing w:before="567" w:after="0"/>
      </w:pPr>
      <w:bookmarkStart w:id="217" w:name="_Toc513394664"/>
      <w:bookmarkEnd w:id="217"/>
      <w:bookmarkStart w:id="218" w:name="_Toc464089358"/>
      <w:bookmarkEnd w:id="218"/>
      <w:bookmarkStart w:id="219" w:name="_Toc464089357"/>
      <w:bookmarkEnd w:id="219"/>
      <w:bookmarkStart w:id="220" w:name="_Toc513394663"/>
      <w:bookmarkEnd w:id="220"/>
      <w:bookmarkStart w:id="221" w:name="_Toc513731944"/>
      <w:bookmarkStart w:id="222" w:name="_Toc513732001"/>
      <w:bookmarkStart w:id="223" w:name="_Toc513732011"/>
      <w:bookmarkStart w:id="224" w:name="_Toc513734087"/>
      <w:r>
        <w:rPr>
          <w:rFonts w:hint="eastAsia" w:hAnsi="黑体"/>
        </w:rPr>
        <w:t>附 录 A</w:t>
      </w:r>
      <w:r>
        <w:rPr>
          <w:rFonts w:hAnsi="黑体"/>
        </w:rPr>
        <w:br/>
      </w:r>
      <w:bookmarkStart w:id="225" w:name="_Toc513394665"/>
      <w:r>
        <w:rPr>
          <w:rFonts w:hint="eastAsia" w:hAnsi="黑体"/>
        </w:rPr>
        <w:t>（规范性附录）</w:t>
      </w:r>
    </w:p>
    <w:p>
      <w:pPr>
        <w:pStyle w:val="113"/>
        <w:numPr>
          <w:ilvl w:val="1"/>
          <w:numId w:val="0"/>
        </w:numPr>
        <w:spacing w:beforeLines="0" w:after="120" w:line="500" w:lineRule="exact"/>
        <w:ind w:left="142"/>
        <w:rPr>
          <w:rFonts w:hAnsi="黑体"/>
        </w:rPr>
      </w:pPr>
      <w:r>
        <w:rPr>
          <w:rFonts w:hint="eastAsia" w:hAnsi="黑体"/>
        </w:rPr>
        <w:t>原油洗舱作业安全确认表</w:t>
      </w:r>
      <w:bookmarkEnd w:id="221"/>
      <w:bookmarkEnd w:id="222"/>
      <w:bookmarkEnd w:id="223"/>
      <w:bookmarkEnd w:id="224"/>
      <w:bookmarkEnd w:id="225"/>
    </w:p>
    <w:p>
      <w:pPr>
        <w:pStyle w:val="24"/>
        <w:spacing w:line="500" w:lineRule="exact"/>
      </w:pPr>
      <w:r>
        <w:rPr>
          <w:rFonts w:hint="eastAsia"/>
        </w:rPr>
        <w:t>表</w:t>
      </w:r>
      <w:r>
        <w:t>A.1</w:t>
      </w:r>
      <w:r>
        <w:rPr>
          <w:rFonts w:hint="eastAsia"/>
        </w:rPr>
        <w:t>至表A.</w:t>
      </w:r>
      <w:r>
        <w:t>4</w:t>
      </w:r>
      <w:r>
        <w:rPr>
          <w:rFonts w:hint="eastAsia"/>
        </w:rPr>
        <w:t>给出了抵港前、洗舱开始前、洗舱作业期间以及洗舱结束后原油洗舱作业安全确认表。</w:t>
      </w:r>
    </w:p>
    <w:p>
      <w:pPr>
        <w:pStyle w:val="113"/>
        <w:spacing w:before="120" w:after="120"/>
        <w:ind w:left="0" w:firstLine="0"/>
        <w:rPr>
          <w:rFonts w:hAnsi="黑体"/>
        </w:rPr>
      </w:pPr>
      <w:r>
        <w:rPr>
          <w:rFonts w:hint="eastAsia" w:hAnsi="黑体"/>
        </w:rPr>
        <w:t>原油洗舱作业安全确认表（抵港前）</w:t>
      </w:r>
    </w:p>
    <w:p>
      <w:pPr>
        <w:pStyle w:val="113"/>
        <w:numPr>
          <w:ilvl w:val="1"/>
          <w:numId w:val="0"/>
        </w:numPr>
        <w:spacing w:before="120" w:after="120"/>
        <w:ind w:left="709"/>
        <w:jc w:val="right"/>
        <w:rPr>
          <w:rFonts w:hAnsi="黑体"/>
        </w:rPr>
      </w:pPr>
      <w:r>
        <w:rPr>
          <w:rFonts w:hint="eastAsia" w:hAnsi="黑体"/>
        </w:rPr>
        <w:t xml:space="preserve">              年  月  日</w:t>
      </w:r>
    </w:p>
    <w:tbl>
      <w:tblPr>
        <w:tblW w:w="9398"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28" w:type="dxa"/>
          <w:left w:w="28" w:type="dxa"/>
          <w:bottom w:w="28" w:type="dxa"/>
          <w:right w:w="28" w:type="dxa"/>
        </w:tblCellMar>
      </w:tblPr>
      <w:tblGrid>
        <w:gridCol w:w="658"/>
        <w:gridCol w:w="5701"/>
        <w:gridCol w:w="840"/>
        <w:gridCol w:w="1155"/>
        <w:gridCol w:w="1044"/>
      </w:tblGrid>
      <w:tr>
        <w:trPr>
          <w:cantSplit/>
          <w:trHeight w:val="680" w:hRule="exact"/>
          <w:jc w:val="center"/>
        </w:trPr>
        <w:tc>
          <w:tcPr>
            <w:tcW w:w="658" w:type="dxa"/>
            <w:vAlign w:val="center"/>
          </w:tcPr>
          <w:p>
            <w:pPr>
              <w:autoSpaceDE w:val="0"/>
              <w:autoSpaceDN w:val="0"/>
              <w:spacing w:before="20" w:after="20" w:line="240" w:lineRule="atLeast"/>
              <w:jc w:val="center"/>
              <w:textAlignment w:val="bottom"/>
              <w:rPr>
                <w:szCs w:val="21"/>
              </w:rPr>
            </w:pPr>
            <w:r>
              <w:rPr>
                <w:szCs w:val="21"/>
              </w:rPr>
              <w:t>序号</w:t>
            </w:r>
          </w:p>
        </w:tc>
        <w:tc>
          <w:tcPr>
            <w:tcW w:w="5701" w:type="dxa"/>
            <w:vAlign w:val="center"/>
          </w:tcPr>
          <w:p>
            <w:pPr>
              <w:autoSpaceDE w:val="0"/>
              <w:autoSpaceDN w:val="0"/>
              <w:spacing w:before="20" w:after="20" w:line="240" w:lineRule="atLeast"/>
              <w:jc w:val="center"/>
              <w:textAlignment w:val="bottom"/>
              <w:rPr>
                <w:szCs w:val="21"/>
              </w:rPr>
            </w:pPr>
            <w:r>
              <w:rPr>
                <w:szCs w:val="21"/>
              </w:rPr>
              <w:t>检</w:t>
            </w:r>
            <w:r>
              <w:rPr>
                <w:szCs w:val="21"/>
              </w:rPr>
              <w:tab/>
            </w:r>
            <w:r>
              <w:rPr>
                <w:szCs w:val="21"/>
              </w:rPr>
              <w:t>查</w:t>
            </w:r>
            <w:r>
              <w:rPr>
                <w:szCs w:val="21"/>
              </w:rPr>
              <w:tab/>
            </w:r>
            <w:r>
              <w:rPr>
                <w:szCs w:val="21"/>
              </w:rPr>
              <w:t>项</w:t>
            </w:r>
            <w:r>
              <w:rPr>
                <w:szCs w:val="21"/>
              </w:rPr>
              <w:tab/>
            </w:r>
            <w:r>
              <w:rPr>
                <w:szCs w:val="21"/>
              </w:rPr>
              <w:t>目</w:t>
            </w:r>
          </w:p>
        </w:tc>
        <w:tc>
          <w:tcPr>
            <w:tcW w:w="840" w:type="dxa"/>
            <w:vAlign w:val="center"/>
          </w:tcPr>
          <w:p>
            <w:pPr>
              <w:autoSpaceDE w:val="0"/>
              <w:autoSpaceDN w:val="0"/>
              <w:spacing w:before="20" w:after="20" w:line="240" w:lineRule="atLeast"/>
              <w:jc w:val="center"/>
              <w:textAlignment w:val="bottom"/>
              <w:rPr>
                <w:szCs w:val="21"/>
              </w:rPr>
            </w:pPr>
            <w:r>
              <w:rPr>
                <w:szCs w:val="21"/>
              </w:rPr>
              <w:t>船  方</w:t>
            </w:r>
          </w:p>
        </w:tc>
        <w:tc>
          <w:tcPr>
            <w:tcW w:w="1155" w:type="dxa"/>
            <w:vAlign w:val="center"/>
          </w:tcPr>
          <w:p>
            <w:pPr>
              <w:autoSpaceDE w:val="0"/>
              <w:autoSpaceDN w:val="0"/>
              <w:spacing w:before="20" w:after="20" w:line="240" w:lineRule="atLeast"/>
              <w:jc w:val="center"/>
              <w:textAlignment w:val="bottom"/>
              <w:rPr>
                <w:szCs w:val="21"/>
              </w:rPr>
            </w:pPr>
            <w:r>
              <w:rPr>
                <w:szCs w:val="21"/>
              </w:rPr>
              <w:t>岸  方</w:t>
            </w:r>
          </w:p>
        </w:tc>
        <w:tc>
          <w:tcPr>
            <w:tcW w:w="1044" w:type="dxa"/>
            <w:vAlign w:val="center"/>
          </w:tcPr>
          <w:p>
            <w:pPr>
              <w:autoSpaceDE w:val="0"/>
              <w:autoSpaceDN w:val="0"/>
              <w:spacing w:before="20" w:after="20" w:line="240" w:lineRule="atLeast"/>
              <w:jc w:val="center"/>
              <w:textAlignment w:val="bottom"/>
              <w:rPr>
                <w:szCs w:val="21"/>
              </w:rPr>
            </w:pPr>
            <w:r>
              <w:rPr>
                <w:szCs w:val="21"/>
              </w:rPr>
              <w:t>备注</w:t>
            </w:r>
          </w:p>
        </w:tc>
      </w:tr>
      <w:tr>
        <w:trPr>
          <w:cantSplit/>
          <w:trHeight w:val="680" w:hRule="exact"/>
          <w:jc w:val="center"/>
        </w:trPr>
        <w:tc>
          <w:tcPr>
            <w:tcW w:w="658" w:type="dxa"/>
            <w:vAlign w:val="center"/>
          </w:tcPr>
          <w:p>
            <w:pPr>
              <w:autoSpaceDE w:val="0"/>
              <w:autoSpaceDN w:val="0"/>
              <w:spacing w:before="20" w:after="20" w:line="240" w:lineRule="atLeast"/>
              <w:jc w:val="center"/>
              <w:textAlignment w:val="bottom"/>
              <w:rPr>
                <w:rFonts w:ascii="宋体" w:hAnsi="宋体"/>
                <w:szCs w:val="21"/>
              </w:rPr>
            </w:pPr>
            <w:r>
              <w:rPr>
                <w:rFonts w:ascii="宋体" w:hAnsi="宋体"/>
                <w:szCs w:val="21"/>
              </w:rPr>
              <w:t>1</w:t>
            </w:r>
          </w:p>
        </w:tc>
        <w:tc>
          <w:tcPr>
            <w:tcW w:w="5701" w:type="dxa"/>
            <w:vAlign w:val="center"/>
          </w:tcPr>
          <w:p>
            <w:pPr>
              <w:autoSpaceDE w:val="0"/>
              <w:autoSpaceDN w:val="0"/>
              <w:adjustRightInd w:val="0"/>
              <w:spacing w:before="20" w:after="20" w:line="240" w:lineRule="atLeast"/>
              <w:jc w:val="left"/>
              <w:rPr>
                <w:szCs w:val="21"/>
              </w:rPr>
            </w:pPr>
            <w:r>
              <w:rPr>
                <w:kern w:val="0"/>
                <w:szCs w:val="21"/>
              </w:rPr>
              <w:t xml:space="preserve"> </w:t>
            </w:r>
            <w:r>
              <w:rPr>
                <w:szCs w:val="21"/>
              </w:rPr>
              <w:t>是否已通知岸方？</w:t>
            </w:r>
          </w:p>
        </w:tc>
        <w:tc>
          <w:tcPr>
            <w:tcW w:w="840" w:type="dxa"/>
            <w:vAlign w:val="center"/>
          </w:tcPr>
          <w:p>
            <w:pPr>
              <w:autoSpaceDE w:val="0"/>
              <w:autoSpaceDN w:val="0"/>
              <w:spacing w:before="20" w:after="20" w:line="240" w:lineRule="atLeast"/>
              <w:jc w:val="center"/>
              <w:textAlignment w:val="bottom"/>
              <w:rPr>
                <w:rFonts w:ascii="宋体" w:hAnsi="宋体"/>
                <w:szCs w:val="21"/>
              </w:rPr>
            </w:pPr>
          </w:p>
        </w:tc>
        <w:tc>
          <w:tcPr>
            <w:tcW w:w="1155" w:type="dxa"/>
            <w:vAlign w:val="center"/>
          </w:tcPr>
          <w:p>
            <w:pPr>
              <w:autoSpaceDE w:val="0"/>
              <w:autoSpaceDN w:val="0"/>
              <w:spacing w:before="20" w:after="20" w:line="240" w:lineRule="atLeast"/>
              <w:jc w:val="center"/>
              <w:textAlignment w:val="bottom"/>
              <w:rPr>
                <w:rFonts w:ascii="宋体" w:hAnsi="宋体"/>
                <w:szCs w:val="21"/>
              </w:rPr>
            </w:pPr>
          </w:p>
        </w:tc>
        <w:tc>
          <w:tcPr>
            <w:tcW w:w="1044" w:type="dxa"/>
            <w:vAlign w:val="center"/>
          </w:tcPr>
          <w:p>
            <w:pPr>
              <w:autoSpaceDE w:val="0"/>
              <w:autoSpaceDN w:val="0"/>
              <w:spacing w:before="20" w:after="20" w:line="240" w:lineRule="atLeast"/>
              <w:jc w:val="center"/>
              <w:textAlignment w:val="bottom"/>
              <w:rPr>
                <w:rFonts w:ascii="宋体" w:hAnsi="宋体"/>
                <w:szCs w:val="21"/>
              </w:rPr>
            </w:pPr>
          </w:p>
        </w:tc>
      </w:tr>
      <w:tr>
        <w:trPr>
          <w:cantSplit/>
          <w:trHeight w:val="680" w:hRule="exact"/>
          <w:jc w:val="center"/>
        </w:trPr>
        <w:tc>
          <w:tcPr>
            <w:tcW w:w="658" w:type="dxa"/>
            <w:vAlign w:val="center"/>
          </w:tcPr>
          <w:p>
            <w:pPr>
              <w:autoSpaceDE w:val="0"/>
              <w:autoSpaceDN w:val="0"/>
              <w:spacing w:before="20" w:after="20" w:line="240" w:lineRule="atLeast"/>
              <w:jc w:val="center"/>
              <w:textAlignment w:val="bottom"/>
              <w:rPr>
                <w:rFonts w:ascii="宋体" w:hAnsi="宋体"/>
                <w:szCs w:val="21"/>
              </w:rPr>
            </w:pPr>
            <w:r>
              <w:rPr>
                <w:rFonts w:ascii="宋体" w:hAnsi="宋体"/>
                <w:szCs w:val="21"/>
              </w:rPr>
              <w:t>2</w:t>
            </w:r>
          </w:p>
        </w:tc>
        <w:tc>
          <w:tcPr>
            <w:tcW w:w="5701" w:type="dxa"/>
            <w:vAlign w:val="center"/>
          </w:tcPr>
          <w:p>
            <w:pPr>
              <w:autoSpaceDE w:val="0"/>
              <w:autoSpaceDN w:val="0"/>
              <w:spacing w:before="20" w:after="20" w:line="240" w:lineRule="atLeast"/>
              <w:ind w:left="113"/>
              <w:textAlignment w:val="bottom"/>
              <w:rPr>
                <w:szCs w:val="21"/>
              </w:rPr>
            </w:pPr>
            <w:r>
              <w:rPr>
                <w:szCs w:val="21"/>
              </w:rPr>
              <w:t>测氧仪是否经过检查和测试并工作正常？</w:t>
            </w:r>
          </w:p>
        </w:tc>
        <w:tc>
          <w:tcPr>
            <w:tcW w:w="840" w:type="dxa"/>
            <w:vAlign w:val="center"/>
          </w:tcPr>
          <w:p>
            <w:pPr>
              <w:autoSpaceDE w:val="0"/>
              <w:autoSpaceDN w:val="0"/>
              <w:spacing w:before="20" w:after="20" w:line="240" w:lineRule="atLeast"/>
              <w:jc w:val="center"/>
              <w:textAlignment w:val="bottom"/>
              <w:rPr>
                <w:rFonts w:ascii="宋体" w:hAnsi="宋体"/>
                <w:szCs w:val="21"/>
              </w:rPr>
            </w:pPr>
          </w:p>
        </w:tc>
        <w:tc>
          <w:tcPr>
            <w:tcW w:w="1155" w:type="dxa"/>
            <w:vAlign w:val="center"/>
          </w:tcPr>
          <w:p>
            <w:pPr>
              <w:autoSpaceDE w:val="0"/>
              <w:autoSpaceDN w:val="0"/>
              <w:spacing w:before="20" w:after="20" w:line="240" w:lineRule="atLeast"/>
              <w:jc w:val="center"/>
              <w:textAlignment w:val="bottom"/>
              <w:rPr>
                <w:rFonts w:ascii="宋体" w:hAnsi="宋体"/>
                <w:szCs w:val="21"/>
              </w:rPr>
            </w:pPr>
          </w:p>
        </w:tc>
        <w:tc>
          <w:tcPr>
            <w:tcW w:w="1044" w:type="dxa"/>
            <w:vAlign w:val="center"/>
          </w:tcPr>
          <w:p>
            <w:pPr>
              <w:autoSpaceDE w:val="0"/>
              <w:autoSpaceDN w:val="0"/>
              <w:spacing w:before="20" w:after="20" w:line="240" w:lineRule="atLeast"/>
              <w:jc w:val="center"/>
              <w:textAlignment w:val="bottom"/>
              <w:rPr>
                <w:rFonts w:ascii="宋体" w:hAnsi="宋体"/>
                <w:szCs w:val="21"/>
              </w:rPr>
            </w:pPr>
          </w:p>
        </w:tc>
      </w:tr>
      <w:tr>
        <w:trPr>
          <w:cantSplit/>
          <w:trHeight w:val="680" w:hRule="exact"/>
          <w:jc w:val="center"/>
        </w:trPr>
        <w:tc>
          <w:tcPr>
            <w:tcW w:w="658" w:type="dxa"/>
            <w:vAlign w:val="center"/>
          </w:tcPr>
          <w:p>
            <w:pPr>
              <w:autoSpaceDE w:val="0"/>
              <w:autoSpaceDN w:val="0"/>
              <w:spacing w:before="20" w:after="20" w:line="240" w:lineRule="atLeast"/>
              <w:jc w:val="center"/>
              <w:textAlignment w:val="bottom"/>
              <w:rPr>
                <w:rFonts w:ascii="宋体" w:hAnsi="宋体"/>
                <w:szCs w:val="21"/>
              </w:rPr>
            </w:pPr>
            <w:r>
              <w:rPr>
                <w:rFonts w:ascii="宋体" w:hAnsi="宋体"/>
                <w:szCs w:val="21"/>
              </w:rPr>
              <w:t>3</w:t>
            </w:r>
          </w:p>
        </w:tc>
        <w:tc>
          <w:tcPr>
            <w:tcW w:w="5701" w:type="dxa"/>
            <w:vAlign w:val="center"/>
          </w:tcPr>
          <w:p>
            <w:pPr>
              <w:autoSpaceDE w:val="0"/>
              <w:autoSpaceDN w:val="0"/>
              <w:spacing w:before="20" w:after="20" w:line="240" w:lineRule="atLeast"/>
              <w:ind w:left="113"/>
              <w:textAlignment w:val="bottom"/>
              <w:rPr>
                <w:szCs w:val="21"/>
              </w:rPr>
            </w:pPr>
            <w:r>
              <w:rPr>
                <w:szCs w:val="21"/>
              </w:rPr>
              <w:t>洗舱管系是否与水加热器和机舱隔绝？</w:t>
            </w:r>
          </w:p>
        </w:tc>
        <w:tc>
          <w:tcPr>
            <w:tcW w:w="840" w:type="dxa"/>
            <w:vAlign w:val="center"/>
          </w:tcPr>
          <w:p>
            <w:pPr>
              <w:autoSpaceDE w:val="0"/>
              <w:autoSpaceDN w:val="0"/>
              <w:spacing w:before="20" w:after="20" w:line="240" w:lineRule="atLeast"/>
              <w:jc w:val="center"/>
              <w:textAlignment w:val="bottom"/>
              <w:rPr>
                <w:rFonts w:ascii="宋体" w:hAnsi="宋体"/>
                <w:szCs w:val="21"/>
              </w:rPr>
            </w:pPr>
          </w:p>
        </w:tc>
        <w:tc>
          <w:tcPr>
            <w:tcW w:w="1155" w:type="dxa"/>
            <w:vAlign w:val="center"/>
          </w:tcPr>
          <w:p>
            <w:pPr>
              <w:autoSpaceDE w:val="0"/>
              <w:autoSpaceDN w:val="0"/>
              <w:spacing w:before="20" w:after="20" w:line="240" w:lineRule="atLeast"/>
              <w:jc w:val="center"/>
              <w:textAlignment w:val="bottom"/>
              <w:rPr>
                <w:rFonts w:ascii="宋体" w:hAnsi="宋体"/>
                <w:szCs w:val="21"/>
              </w:rPr>
            </w:pPr>
          </w:p>
        </w:tc>
        <w:tc>
          <w:tcPr>
            <w:tcW w:w="1044" w:type="dxa"/>
            <w:vAlign w:val="center"/>
          </w:tcPr>
          <w:p>
            <w:pPr>
              <w:autoSpaceDE w:val="0"/>
              <w:autoSpaceDN w:val="0"/>
              <w:spacing w:before="20" w:after="20" w:line="240" w:lineRule="atLeast"/>
              <w:jc w:val="center"/>
              <w:textAlignment w:val="bottom"/>
              <w:rPr>
                <w:rFonts w:ascii="宋体" w:hAnsi="宋体"/>
                <w:szCs w:val="21"/>
              </w:rPr>
            </w:pPr>
          </w:p>
        </w:tc>
      </w:tr>
      <w:tr>
        <w:trPr>
          <w:cantSplit/>
          <w:trHeight w:val="680" w:hRule="exact"/>
          <w:jc w:val="center"/>
        </w:trPr>
        <w:tc>
          <w:tcPr>
            <w:tcW w:w="658" w:type="dxa"/>
            <w:vAlign w:val="center"/>
          </w:tcPr>
          <w:p>
            <w:pPr>
              <w:autoSpaceDE w:val="0"/>
              <w:autoSpaceDN w:val="0"/>
              <w:spacing w:before="20" w:after="20" w:line="240" w:lineRule="atLeast"/>
              <w:jc w:val="center"/>
              <w:textAlignment w:val="bottom"/>
              <w:rPr>
                <w:rFonts w:ascii="宋体" w:hAnsi="宋体"/>
                <w:szCs w:val="21"/>
              </w:rPr>
            </w:pPr>
            <w:r>
              <w:rPr>
                <w:rFonts w:ascii="宋体" w:hAnsi="宋体"/>
                <w:szCs w:val="21"/>
              </w:rPr>
              <w:t>4</w:t>
            </w:r>
          </w:p>
        </w:tc>
        <w:tc>
          <w:tcPr>
            <w:tcW w:w="5701" w:type="dxa"/>
            <w:vAlign w:val="center"/>
          </w:tcPr>
          <w:p>
            <w:pPr>
              <w:autoSpaceDE w:val="0"/>
              <w:autoSpaceDN w:val="0"/>
              <w:spacing w:before="20" w:after="20" w:line="240" w:lineRule="atLeast"/>
              <w:ind w:left="113"/>
              <w:textAlignment w:val="bottom"/>
              <w:rPr>
                <w:szCs w:val="21"/>
              </w:rPr>
            </w:pPr>
            <w:r>
              <w:rPr>
                <w:szCs w:val="21"/>
              </w:rPr>
              <w:t>洗舱管系上的（可接洗舱软管的）水阀是否已用盲板堵死？</w:t>
            </w:r>
          </w:p>
        </w:tc>
        <w:tc>
          <w:tcPr>
            <w:tcW w:w="840" w:type="dxa"/>
            <w:vAlign w:val="center"/>
          </w:tcPr>
          <w:p>
            <w:pPr>
              <w:autoSpaceDE w:val="0"/>
              <w:autoSpaceDN w:val="0"/>
              <w:spacing w:before="20" w:after="20" w:line="240" w:lineRule="atLeast"/>
              <w:jc w:val="center"/>
              <w:textAlignment w:val="bottom"/>
              <w:rPr>
                <w:rFonts w:ascii="宋体" w:hAnsi="宋体"/>
                <w:szCs w:val="21"/>
              </w:rPr>
            </w:pPr>
          </w:p>
        </w:tc>
        <w:tc>
          <w:tcPr>
            <w:tcW w:w="1155" w:type="dxa"/>
            <w:vAlign w:val="center"/>
          </w:tcPr>
          <w:p>
            <w:pPr>
              <w:autoSpaceDE w:val="0"/>
              <w:autoSpaceDN w:val="0"/>
              <w:spacing w:before="20" w:after="20" w:line="240" w:lineRule="atLeast"/>
              <w:jc w:val="center"/>
              <w:textAlignment w:val="bottom"/>
              <w:rPr>
                <w:rFonts w:ascii="宋体" w:hAnsi="宋体"/>
                <w:szCs w:val="21"/>
              </w:rPr>
            </w:pPr>
          </w:p>
        </w:tc>
        <w:tc>
          <w:tcPr>
            <w:tcW w:w="1044" w:type="dxa"/>
            <w:vAlign w:val="center"/>
          </w:tcPr>
          <w:p>
            <w:pPr>
              <w:autoSpaceDE w:val="0"/>
              <w:autoSpaceDN w:val="0"/>
              <w:spacing w:before="20" w:after="20" w:line="240" w:lineRule="atLeast"/>
              <w:jc w:val="center"/>
              <w:textAlignment w:val="bottom"/>
              <w:rPr>
                <w:rFonts w:ascii="宋体" w:hAnsi="宋体"/>
                <w:szCs w:val="21"/>
              </w:rPr>
            </w:pPr>
          </w:p>
        </w:tc>
      </w:tr>
      <w:tr>
        <w:trPr>
          <w:cantSplit/>
          <w:trHeight w:val="680" w:hRule="exact"/>
          <w:jc w:val="center"/>
        </w:trPr>
        <w:tc>
          <w:tcPr>
            <w:tcW w:w="658" w:type="dxa"/>
            <w:vAlign w:val="center"/>
          </w:tcPr>
          <w:p>
            <w:pPr>
              <w:autoSpaceDE w:val="0"/>
              <w:autoSpaceDN w:val="0"/>
              <w:spacing w:before="20" w:after="20" w:line="240" w:lineRule="atLeast"/>
              <w:jc w:val="center"/>
              <w:textAlignment w:val="bottom"/>
              <w:rPr>
                <w:rFonts w:ascii="宋体" w:hAnsi="宋体"/>
                <w:szCs w:val="21"/>
              </w:rPr>
            </w:pPr>
            <w:r>
              <w:rPr>
                <w:rFonts w:ascii="宋体" w:hAnsi="宋体"/>
                <w:szCs w:val="21"/>
              </w:rPr>
              <w:t>5</w:t>
            </w:r>
          </w:p>
        </w:tc>
        <w:tc>
          <w:tcPr>
            <w:tcW w:w="5701" w:type="dxa"/>
            <w:vAlign w:val="center"/>
          </w:tcPr>
          <w:p>
            <w:pPr>
              <w:autoSpaceDE w:val="0"/>
              <w:autoSpaceDN w:val="0"/>
              <w:spacing w:before="20" w:after="20" w:line="240" w:lineRule="atLeast"/>
              <w:ind w:left="113"/>
              <w:textAlignment w:val="bottom"/>
              <w:rPr>
                <w:szCs w:val="21"/>
              </w:rPr>
            </w:pPr>
            <w:r>
              <w:rPr>
                <w:szCs w:val="21"/>
              </w:rPr>
              <w:t>所有通往固定式洗舱机的阀门是否已关闭？</w:t>
            </w:r>
          </w:p>
        </w:tc>
        <w:tc>
          <w:tcPr>
            <w:tcW w:w="840" w:type="dxa"/>
            <w:vAlign w:val="center"/>
          </w:tcPr>
          <w:p>
            <w:pPr>
              <w:autoSpaceDE w:val="0"/>
              <w:autoSpaceDN w:val="0"/>
              <w:spacing w:before="20" w:after="20" w:line="240" w:lineRule="atLeast"/>
              <w:jc w:val="center"/>
              <w:textAlignment w:val="bottom"/>
              <w:rPr>
                <w:rFonts w:ascii="宋体" w:hAnsi="宋体"/>
                <w:szCs w:val="21"/>
              </w:rPr>
            </w:pPr>
          </w:p>
        </w:tc>
        <w:tc>
          <w:tcPr>
            <w:tcW w:w="1155" w:type="dxa"/>
            <w:vAlign w:val="center"/>
          </w:tcPr>
          <w:p>
            <w:pPr>
              <w:autoSpaceDE w:val="0"/>
              <w:autoSpaceDN w:val="0"/>
              <w:spacing w:before="20" w:after="20" w:line="240" w:lineRule="atLeast"/>
              <w:jc w:val="center"/>
              <w:textAlignment w:val="bottom"/>
              <w:rPr>
                <w:rFonts w:ascii="宋体" w:hAnsi="宋体"/>
                <w:szCs w:val="21"/>
              </w:rPr>
            </w:pPr>
          </w:p>
        </w:tc>
        <w:tc>
          <w:tcPr>
            <w:tcW w:w="1044" w:type="dxa"/>
            <w:vAlign w:val="center"/>
          </w:tcPr>
          <w:p>
            <w:pPr>
              <w:autoSpaceDE w:val="0"/>
              <w:autoSpaceDN w:val="0"/>
              <w:spacing w:before="20" w:after="20" w:line="240" w:lineRule="atLeast"/>
              <w:jc w:val="center"/>
              <w:textAlignment w:val="bottom"/>
              <w:rPr>
                <w:rFonts w:ascii="宋体" w:hAnsi="宋体"/>
                <w:szCs w:val="21"/>
              </w:rPr>
            </w:pPr>
          </w:p>
        </w:tc>
      </w:tr>
      <w:tr>
        <w:trPr>
          <w:cantSplit/>
          <w:trHeight w:val="680" w:hRule="exact"/>
          <w:jc w:val="center"/>
        </w:trPr>
        <w:tc>
          <w:tcPr>
            <w:tcW w:w="658" w:type="dxa"/>
            <w:vAlign w:val="center"/>
          </w:tcPr>
          <w:p>
            <w:pPr>
              <w:autoSpaceDE w:val="0"/>
              <w:autoSpaceDN w:val="0"/>
              <w:spacing w:before="20" w:after="20" w:line="240" w:lineRule="atLeast"/>
              <w:jc w:val="center"/>
              <w:textAlignment w:val="bottom"/>
              <w:rPr>
                <w:rFonts w:ascii="宋体" w:hAnsi="宋体"/>
                <w:szCs w:val="21"/>
              </w:rPr>
            </w:pPr>
            <w:r>
              <w:rPr>
                <w:rFonts w:ascii="宋体" w:hAnsi="宋体"/>
                <w:szCs w:val="21"/>
              </w:rPr>
              <w:t>6</w:t>
            </w:r>
          </w:p>
        </w:tc>
        <w:tc>
          <w:tcPr>
            <w:tcW w:w="5701" w:type="dxa"/>
            <w:vAlign w:val="center"/>
          </w:tcPr>
          <w:p>
            <w:pPr>
              <w:autoSpaceDE w:val="0"/>
              <w:autoSpaceDN w:val="0"/>
              <w:spacing w:before="20" w:after="20" w:line="240" w:lineRule="atLeast"/>
              <w:ind w:left="113"/>
              <w:textAlignment w:val="bottom"/>
              <w:rPr>
                <w:szCs w:val="21"/>
              </w:rPr>
            </w:pPr>
            <w:r>
              <w:rPr>
                <w:szCs w:val="21"/>
              </w:rPr>
              <w:t>原油洗舱管系是否已经过试压，无泄漏？</w:t>
            </w:r>
          </w:p>
        </w:tc>
        <w:tc>
          <w:tcPr>
            <w:tcW w:w="840" w:type="dxa"/>
            <w:vAlign w:val="center"/>
          </w:tcPr>
          <w:p>
            <w:pPr>
              <w:autoSpaceDE w:val="0"/>
              <w:autoSpaceDN w:val="0"/>
              <w:spacing w:before="20" w:after="20" w:line="240" w:lineRule="atLeast"/>
              <w:jc w:val="center"/>
              <w:textAlignment w:val="bottom"/>
              <w:rPr>
                <w:rFonts w:ascii="宋体" w:hAnsi="宋体"/>
                <w:szCs w:val="21"/>
              </w:rPr>
            </w:pPr>
          </w:p>
        </w:tc>
        <w:tc>
          <w:tcPr>
            <w:tcW w:w="1155" w:type="dxa"/>
            <w:vAlign w:val="center"/>
          </w:tcPr>
          <w:p>
            <w:pPr>
              <w:autoSpaceDE w:val="0"/>
              <w:autoSpaceDN w:val="0"/>
              <w:spacing w:before="20" w:after="20" w:line="240" w:lineRule="atLeast"/>
              <w:jc w:val="center"/>
              <w:textAlignment w:val="bottom"/>
              <w:rPr>
                <w:rFonts w:ascii="宋体" w:hAnsi="宋体"/>
                <w:szCs w:val="21"/>
              </w:rPr>
            </w:pPr>
          </w:p>
        </w:tc>
        <w:tc>
          <w:tcPr>
            <w:tcW w:w="1044" w:type="dxa"/>
            <w:vAlign w:val="center"/>
          </w:tcPr>
          <w:p>
            <w:pPr>
              <w:autoSpaceDE w:val="0"/>
              <w:autoSpaceDN w:val="0"/>
              <w:spacing w:before="20" w:after="20" w:line="240" w:lineRule="atLeast"/>
              <w:jc w:val="center"/>
              <w:textAlignment w:val="bottom"/>
              <w:rPr>
                <w:rFonts w:ascii="宋体" w:hAnsi="宋体"/>
                <w:szCs w:val="21"/>
              </w:rPr>
            </w:pPr>
          </w:p>
        </w:tc>
      </w:tr>
      <w:tr>
        <w:trPr>
          <w:cantSplit/>
          <w:trHeight w:val="680" w:hRule="exact"/>
          <w:jc w:val="center"/>
        </w:trPr>
        <w:tc>
          <w:tcPr>
            <w:tcW w:w="658" w:type="dxa"/>
            <w:vAlign w:val="center"/>
          </w:tcPr>
          <w:p>
            <w:pPr>
              <w:autoSpaceDE w:val="0"/>
              <w:autoSpaceDN w:val="0"/>
              <w:spacing w:before="20" w:after="20" w:line="240" w:lineRule="atLeast"/>
              <w:jc w:val="center"/>
              <w:textAlignment w:val="bottom"/>
              <w:rPr>
                <w:rFonts w:ascii="宋体" w:hAnsi="宋体"/>
                <w:szCs w:val="21"/>
              </w:rPr>
            </w:pPr>
            <w:r>
              <w:rPr>
                <w:rFonts w:ascii="宋体" w:hAnsi="宋体"/>
                <w:szCs w:val="21"/>
              </w:rPr>
              <w:t>7</w:t>
            </w:r>
          </w:p>
        </w:tc>
        <w:tc>
          <w:tcPr>
            <w:tcW w:w="5701" w:type="dxa"/>
            <w:vAlign w:val="center"/>
          </w:tcPr>
          <w:p>
            <w:pPr>
              <w:autoSpaceDE w:val="0"/>
              <w:autoSpaceDN w:val="0"/>
              <w:spacing w:before="20" w:after="20" w:line="240" w:lineRule="atLeast"/>
              <w:ind w:left="113"/>
              <w:textAlignment w:val="bottom"/>
              <w:rPr>
                <w:szCs w:val="21"/>
              </w:rPr>
            </w:pPr>
            <w:r>
              <w:rPr>
                <w:szCs w:val="21"/>
              </w:rPr>
              <w:t>固定式洗舱机的手动驱动装置是否已经过测试？</w:t>
            </w:r>
          </w:p>
        </w:tc>
        <w:tc>
          <w:tcPr>
            <w:tcW w:w="840" w:type="dxa"/>
            <w:vAlign w:val="center"/>
          </w:tcPr>
          <w:p>
            <w:pPr>
              <w:autoSpaceDE w:val="0"/>
              <w:autoSpaceDN w:val="0"/>
              <w:spacing w:before="20" w:after="20" w:line="240" w:lineRule="atLeast"/>
              <w:jc w:val="center"/>
              <w:textAlignment w:val="bottom"/>
              <w:rPr>
                <w:rFonts w:ascii="宋体" w:hAnsi="宋体"/>
                <w:szCs w:val="21"/>
              </w:rPr>
            </w:pPr>
          </w:p>
        </w:tc>
        <w:tc>
          <w:tcPr>
            <w:tcW w:w="1155" w:type="dxa"/>
            <w:vAlign w:val="center"/>
          </w:tcPr>
          <w:p>
            <w:pPr>
              <w:autoSpaceDE w:val="0"/>
              <w:autoSpaceDN w:val="0"/>
              <w:spacing w:before="20" w:after="20" w:line="240" w:lineRule="atLeast"/>
              <w:jc w:val="center"/>
              <w:textAlignment w:val="bottom"/>
              <w:rPr>
                <w:rFonts w:ascii="宋体" w:hAnsi="宋体"/>
                <w:szCs w:val="21"/>
              </w:rPr>
            </w:pPr>
          </w:p>
        </w:tc>
        <w:tc>
          <w:tcPr>
            <w:tcW w:w="1044" w:type="dxa"/>
            <w:vAlign w:val="center"/>
          </w:tcPr>
          <w:p>
            <w:pPr>
              <w:autoSpaceDE w:val="0"/>
              <w:autoSpaceDN w:val="0"/>
              <w:spacing w:before="20" w:after="20" w:line="240" w:lineRule="atLeast"/>
              <w:jc w:val="center"/>
              <w:textAlignment w:val="bottom"/>
              <w:rPr>
                <w:rFonts w:ascii="宋体" w:hAnsi="宋体"/>
                <w:szCs w:val="21"/>
              </w:rPr>
            </w:pPr>
          </w:p>
        </w:tc>
      </w:tr>
      <w:tr>
        <w:trPr>
          <w:cantSplit/>
          <w:trHeight w:val="680" w:hRule="exact"/>
          <w:jc w:val="center"/>
        </w:trPr>
        <w:tc>
          <w:tcPr>
            <w:tcW w:w="658" w:type="dxa"/>
            <w:vAlign w:val="center"/>
          </w:tcPr>
          <w:p>
            <w:pPr>
              <w:autoSpaceDE w:val="0"/>
              <w:autoSpaceDN w:val="0"/>
              <w:spacing w:before="20" w:after="20" w:line="240" w:lineRule="atLeast"/>
              <w:jc w:val="center"/>
              <w:textAlignment w:val="bottom"/>
              <w:rPr>
                <w:rFonts w:ascii="宋体" w:hAnsi="宋体"/>
                <w:szCs w:val="21"/>
              </w:rPr>
            </w:pPr>
            <w:r>
              <w:rPr>
                <w:rFonts w:ascii="宋体" w:hAnsi="宋体"/>
                <w:szCs w:val="21"/>
              </w:rPr>
              <w:t>8</w:t>
            </w:r>
          </w:p>
        </w:tc>
        <w:tc>
          <w:tcPr>
            <w:tcW w:w="5701" w:type="dxa"/>
            <w:vAlign w:val="center"/>
          </w:tcPr>
          <w:p>
            <w:pPr>
              <w:autoSpaceDE w:val="0"/>
              <w:autoSpaceDN w:val="0"/>
              <w:spacing w:before="20" w:after="20" w:line="240" w:lineRule="atLeast"/>
              <w:ind w:left="113"/>
              <w:textAlignment w:val="bottom"/>
              <w:rPr>
                <w:szCs w:val="21"/>
              </w:rPr>
            </w:pPr>
            <w:r>
              <w:rPr>
                <w:szCs w:val="21"/>
              </w:rPr>
              <w:t>卸货管系、出口、主洗舱管系的压力表是否已经过检查？</w:t>
            </w:r>
          </w:p>
        </w:tc>
        <w:tc>
          <w:tcPr>
            <w:tcW w:w="840" w:type="dxa"/>
            <w:vAlign w:val="center"/>
          </w:tcPr>
          <w:p>
            <w:pPr>
              <w:autoSpaceDE w:val="0"/>
              <w:autoSpaceDN w:val="0"/>
              <w:spacing w:before="20" w:after="20" w:line="240" w:lineRule="atLeast"/>
              <w:jc w:val="center"/>
              <w:textAlignment w:val="bottom"/>
              <w:rPr>
                <w:rFonts w:ascii="宋体" w:hAnsi="宋体"/>
                <w:szCs w:val="21"/>
              </w:rPr>
            </w:pPr>
          </w:p>
        </w:tc>
        <w:tc>
          <w:tcPr>
            <w:tcW w:w="1155" w:type="dxa"/>
            <w:vAlign w:val="center"/>
          </w:tcPr>
          <w:p>
            <w:pPr>
              <w:autoSpaceDE w:val="0"/>
              <w:autoSpaceDN w:val="0"/>
              <w:spacing w:before="20" w:after="20" w:line="240" w:lineRule="atLeast"/>
              <w:jc w:val="center"/>
              <w:textAlignment w:val="bottom"/>
              <w:rPr>
                <w:rFonts w:ascii="宋体" w:hAnsi="宋体"/>
                <w:szCs w:val="21"/>
              </w:rPr>
            </w:pPr>
          </w:p>
        </w:tc>
        <w:tc>
          <w:tcPr>
            <w:tcW w:w="1044" w:type="dxa"/>
            <w:vAlign w:val="center"/>
          </w:tcPr>
          <w:p>
            <w:pPr>
              <w:autoSpaceDE w:val="0"/>
              <w:autoSpaceDN w:val="0"/>
              <w:spacing w:before="20" w:after="20" w:line="240" w:lineRule="atLeast"/>
              <w:jc w:val="center"/>
              <w:textAlignment w:val="bottom"/>
              <w:rPr>
                <w:rFonts w:ascii="宋体" w:hAnsi="宋体"/>
                <w:szCs w:val="21"/>
              </w:rPr>
            </w:pPr>
          </w:p>
        </w:tc>
      </w:tr>
      <w:tr>
        <w:trPr>
          <w:cantSplit/>
          <w:trHeight w:val="680" w:hRule="exact"/>
          <w:jc w:val="center"/>
        </w:trPr>
        <w:tc>
          <w:tcPr>
            <w:tcW w:w="658" w:type="dxa"/>
            <w:vAlign w:val="center"/>
          </w:tcPr>
          <w:p>
            <w:pPr>
              <w:autoSpaceDE w:val="0"/>
              <w:autoSpaceDN w:val="0"/>
              <w:spacing w:before="20" w:after="20" w:line="240" w:lineRule="atLeast"/>
              <w:jc w:val="center"/>
              <w:textAlignment w:val="bottom"/>
              <w:rPr>
                <w:rFonts w:ascii="宋体" w:hAnsi="宋体"/>
                <w:szCs w:val="21"/>
              </w:rPr>
            </w:pPr>
            <w:r>
              <w:rPr>
                <w:rFonts w:hint="eastAsia" w:ascii="宋体" w:hAnsi="宋体"/>
                <w:szCs w:val="21"/>
              </w:rPr>
              <w:t>9</w:t>
            </w:r>
          </w:p>
        </w:tc>
        <w:tc>
          <w:tcPr>
            <w:tcW w:w="5701" w:type="dxa"/>
            <w:vAlign w:val="center"/>
          </w:tcPr>
          <w:p>
            <w:pPr>
              <w:autoSpaceDE w:val="0"/>
              <w:autoSpaceDN w:val="0"/>
              <w:spacing w:before="20" w:after="20" w:line="240" w:lineRule="atLeast"/>
              <w:ind w:left="113"/>
              <w:textAlignment w:val="bottom"/>
              <w:rPr>
                <w:szCs w:val="21"/>
              </w:rPr>
            </w:pPr>
            <w:r>
              <w:rPr>
                <w:szCs w:val="21"/>
              </w:rPr>
              <w:t>扫舱监控装置是否已经过检查？</w:t>
            </w:r>
          </w:p>
        </w:tc>
        <w:tc>
          <w:tcPr>
            <w:tcW w:w="840" w:type="dxa"/>
            <w:vAlign w:val="center"/>
          </w:tcPr>
          <w:p>
            <w:pPr>
              <w:autoSpaceDE w:val="0"/>
              <w:autoSpaceDN w:val="0"/>
              <w:spacing w:before="20" w:after="20" w:line="240" w:lineRule="atLeast"/>
              <w:jc w:val="center"/>
              <w:textAlignment w:val="bottom"/>
              <w:rPr>
                <w:rFonts w:ascii="宋体" w:hAnsi="宋体"/>
                <w:szCs w:val="21"/>
              </w:rPr>
            </w:pPr>
          </w:p>
        </w:tc>
        <w:tc>
          <w:tcPr>
            <w:tcW w:w="1155" w:type="dxa"/>
            <w:vAlign w:val="center"/>
          </w:tcPr>
          <w:p>
            <w:pPr>
              <w:autoSpaceDE w:val="0"/>
              <w:autoSpaceDN w:val="0"/>
              <w:spacing w:before="20" w:after="20" w:line="240" w:lineRule="atLeast"/>
              <w:jc w:val="center"/>
              <w:textAlignment w:val="bottom"/>
              <w:rPr>
                <w:rFonts w:ascii="宋体" w:hAnsi="宋体"/>
                <w:szCs w:val="21"/>
              </w:rPr>
            </w:pPr>
          </w:p>
        </w:tc>
        <w:tc>
          <w:tcPr>
            <w:tcW w:w="1044" w:type="dxa"/>
            <w:vAlign w:val="center"/>
          </w:tcPr>
          <w:p>
            <w:pPr>
              <w:autoSpaceDE w:val="0"/>
              <w:autoSpaceDN w:val="0"/>
              <w:spacing w:before="20" w:after="20" w:line="240" w:lineRule="atLeast"/>
              <w:jc w:val="center"/>
              <w:textAlignment w:val="bottom"/>
              <w:rPr>
                <w:rFonts w:ascii="宋体" w:hAnsi="宋体"/>
                <w:szCs w:val="21"/>
              </w:rPr>
            </w:pPr>
          </w:p>
        </w:tc>
      </w:tr>
      <w:tr>
        <w:trPr>
          <w:cantSplit/>
          <w:trHeight w:val="680" w:hRule="exact"/>
          <w:jc w:val="center"/>
        </w:trPr>
        <w:tc>
          <w:tcPr>
            <w:tcW w:w="658" w:type="dxa"/>
            <w:vAlign w:val="center"/>
          </w:tcPr>
          <w:p>
            <w:pPr>
              <w:autoSpaceDE w:val="0"/>
              <w:autoSpaceDN w:val="0"/>
              <w:spacing w:before="20" w:after="20" w:line="240" w:lineRule="atLeast"/>
              <w:jc w:val="center"/>
              <w:textAlignment w:val="bottom"/>
              <w:rPr>
                <w:rFonts w:ascii="宋体" w:hAnsi="宋体"/>
                <w:szCs w:val="21"/>
              </w:rPr>
            </w:pPr>
            <w:r>
              <w:rPr>
                <w:rFonts w:hint="eastAsia" w:ascii="宋体" w:hAnsi="宋体"/>
                <w:szCs w:val="21"/>
              </w:rPr>
              <w:t>10</w:t>
            </w:r>
          </w:p>
        </w:tc>
        <w:tc>
          <w:tcPr>
            <w:tcW w:w="5701" w:type="dxa"/>
            <w:vAlign w:val="center"/>
          </w:tcPr>
          <w:p>
            <w:pPr>
              <w:autoSpaceDE w:val="0"/>
              <w:autoSpaceDN w:val="0"/>
              <w:spacing w:before="20" w:after="20" w:line="240" w:lineRule="atLeast"/>
              <w:ind w:left="113"/>
              <w:textAlignment w:val="bottom"/>
              <w:rPr>
                <w:szCs w:val="21"/>
              </w:rPr>
            </w:pPr>
            <w:r>
              <w:rPr>
                <w:szCs w:val="21"/>
              </w:rPr>
              <w:t>通讯系统是否已经过检查和测试？</w:t>
            </w:r>
          </w:p>
        </w:tc>
        <w:tc>
          <w:tcPr>
            <w:tcW w:w="840" w:type="dxa"/>
            <w:vAlign w:val="center"/>
          </w:tcPr>
          <w:p>
            <w:pPr>
              <w:autoSpaceDE w:val="0"/>
              <w:autoSpaceDN w:val="0"/>
              <w:spacing w:before="20" w:after="20" w:line="240" w:lineRule="atLeast"/>
              <w:jc w:val="center"/>
              <w:textAlignment w:val="bottom"/>
              <w:rPr>
                <w:rFonts w:ascii="宋体" w:hAnsi="宋体"/>
                <w:szCs w:val="21"/>
              </w:rPr>
            </w:pPr>
          </w:p>
        </w:tc>
        <w:tc>
          <w:tcPr>
            <w:tcW w:w="1155" w:type="dxa"/>
            <w:vAlign w:val="center"/>
          </w:tcPr>
          <w:p>
            <w:pPr>
              <w:autoSpaceDE w:val="0"/>
              <w:autoSpaceDN w:val="0"/>
              <w:spacing w:before="20" w:after="20" w:line="240" w:lineRule="atLeast"/>
              <w:jc w:val="center"/>
              <w:textAlignment w:val="bottom"/>
              <w:rPr>
                <w:rFonts w:ascii="宋体" w:hAnsi="宋体"/>
                <w:szCs w:val="21"/>
              </w:rPr>
            </w:pPr>
          </w:p>
        </w:tc>
        <w:tc>
          <w:tcPr>
            <w:tcW w:w="1044" w:type="dxa"/>
            <w:vAlign w:val="center"/>
          </w:tcPr>
          <w:p>
            <w:pPr>
              <w:autoSpaceDE w:val="0"/>
              <w:autoSpaceDN w:val="0"/>
              <w:spacing w:before="20" w:after="20" w:line="240" w:lineRule="atLeast"/>
              <w:jc w:val="center"/>
              <w:textAlignment w:val="bottom"/>
              <w:rPr>
                <w:rFonts w:ascii="宋体" w:hAnsi="宋体"/>
                <w:szCs w:val="21"/>
              </w:rPr>
            </w:pPr>
          </w:p>
        </w:tc>
      </w:tr>
      <w:tr>
        <w:trPr>
          <w:cantSplit/>
          <w:trHeight w:val="680" w:hRule="exact"/>
          <w:jc w:val="center"/>
        </w:trPr>
        <w:tc>
          <w:tcPr>
            <w:tcW w:w="658" w:type="dxa"/>
            <w:vAlign w:val="center"/>
          </w:tcPr>
          <w:p>
            <w:pPr>
              <w:autoSpaceDE w:val="0"/>
              <w:autoSpaceDN w:val="0"/>
              <w:spacing w:before="20" w:after="20" w:line="240" w:lineRule="atLeast"/>
              <w:jc w:val="center"/>
              <w:textAlignment w:val="bottom"/>
              <w:rPr>
                <w:rFonts w:ascii="宋体" w:hAnsi="宋体"/>
                <w:szCs w:val="21"/>
              </w:rPr>
            </w:pPr>
            <w:r>
              <w:rPr>
                <w:rFonts w:hint="eastAsia" w:ascii="宋体" w:hAnsi="宋体"/>
                <w:szCs w:val="21"/>
              </w:rPr>
              <w:t>11</w:t>
            </w:r>
          </w:p>
        </w:tc>
        <w:tc>
          <w:tcPr>
            <w:tcW w:w="5701" w:type="dxa"/>
            <w:vAlign w:val="center"/>
          </w:tcPr>
          <w:p>
            <w:pPr>
              <w:autoSpaceDE w:val="0"/>
              <w:autoSpaceDN w:val="0"/>
              <w:spacing w:before="20" w:after="20" w:line="240" w:lineRule="atLeast"/>
              <w:ind w:left="113"/>
              <w:textAlignment w:val="bottom"/>
              <w:rPr>
                <w:szCs w:val="21"/>
              </w:rPr>
            </w:pPr>
            <w:r>
              <w:rPr>
                <w:szCs w:val="21"/>
              </w:rPr>
              <w:t>洗舱的人员组织是否已制定并张贴？人员职责是否已明确？</w:t>
            </w:r>
          </w:p>
        </w:tc>
        <w:tc>
          <w:tcPr>
            <w:tcW w:w="840" w:type="dxa"/>
            <w:vAlign w:val="center"/>
          </w:tcPr>
          <w:p>
            <w:pPr>
              <w:autoSpaceDE w:val="0"/>
              <w:autoSpaceDN w:val="0"/>
              <w:spacing w:before="20" w:after="20" w:line="240" w:lineRule="atLeast"/>
              <w:jc w:val="center"/>
              <w:textAlignment w:val="bottom"/>
              <w:rPr>
                <w:rFonts w:ascii="宋体" w:hAnsi="宋体"/>
                <w:szCs w:val="21"/>
              </w:rPr>
            </w:pPr>
          </w:p>
        </w:tc>
        <w:tc>
          <w:tcPr>
            <w:tcW w:w="1155" w:type="dxa"/>
            <w:vAlign w:val="center"/>
          </w:tcPr>
          <w:p>
            <w:pPr>
              <w:autoSpaceDE w:val="0"/>
              <w:autoSpaceDN w:val="0"/>
              <w:spacing w:before="20" w:after="20" w:line="240" w:lineRule="atLeast"/>
              <w:jc w:val="center"/>
              <w:textAlignment w:val="bottom"/>
              <w:rPr>
                <w:rFonts w:ascii="宋体" w:hAnsi="宋体"/>
                <w:szCs w:val="21"/>
              </w:rPr>
            </w:pPr>
          </w:p>
        </w:tc>
        <w:tc>
          <w:tcPr>
            <w:tcW w:w="1044" w:type="dxa"/>
            <w:vAlign w:val="center"/>
          </w:tcPr>
          <w:p>
            <w:pPr>
              <w:autoSpaceDE w:val="0"/>
              <w:autoSpaceDN w:val="0"/>
              <w:spacing w:before="20" w:after="20" w:line="240" w:lineRule="atLeast"/>
              <w:jc w:val="center"/>
              <w:textAlignment w:val="bottom"/>
              <w:rPr>
                <w:rFonts w:ascii="宋体" w:hAnsi="宋体"/>
                <w:szCs w:val="21"/>
              </w:rPr>
            </w:pPr>
          </w:p>
        </w:tc>
      </w:tr>
      <w:tr>
        <w:trPr>
          <w:cantSplit/>
          <w:trHeight w:val="680" w:hRule="exact"/>
          <w:jc w:val="center"/>
        </w:trPr>
        <w:tc>
          <w:tcPr>
            <w:tcW w:w="658" w:type="dxa"/>
            <w:vAlign w:val="center"/>
          </w:tcPr>
          <w:p>
            <w:pPr>
              <w:autoSpaceDE w:val="0"/>
              <w:autoSpaceDN w:val="0"/>
              <w:spacing w:before="20" w:after="20" w:line="240" w:lineRule="atLeast"/>
              <w:jc w:val="center"/>
              <w:textAlignment w:val="bottom"/>
              <w:rPr>
                <w:rFonts w:ascii="宋体" w:hAnsi="宋体"/>
                <w:szCs w:val="21"/>
              </w:rPr>
            </w:pPr>
            <w:r>
              <w:rPr>
                <w:rFonts w:hint="eastAsia" w:ascii="宋体" w:hAnsi="宋体"/>
                <w:szCs w:val="21"/>
              </w:rPr>
              <w:t>12</w:t>
            </w:r>
          </w:p>
        </w:tc>
        <w:tc>
          <w:tcPr>
            <w:tcW w:w="5701" w:type="dxa"/>
            <w:vAlign w:val="center"/>
          </w:tcPr>
          <w:p>
            <w:pPr>
              <w:autoSpaceDE w:val="0"/>
              <w:autoSpaceDN w:val="0"/>
              <w:spacing w:before="20" w:after="20" w:line="240" w:lineRule="atLeast"/>
              <w:ind w:left="113"/>
              <w:textAlignment w:val="bottom"/>
              <w:rPr>
                <w:szCs w:val="21"/>
              </w:rPr>
            </w:pPr>
            <w:r>
              <w:rPr>
                <w:szCs w:val="21"/>
              </w:rPr>
              <w:t>卸货/洗舱操作计划是否已制定并张贴？</w:t>
            </w:r>
          </w:p>
        </w:tc>
        <w:tc>
          <w:tcPr>
            <w:tcW w:w="840" w:type="dxa"/>
            <w:vAlign w:val="center"/>
          </w:tcPr>
          <w:p>
            <w:pPr>
              <w:autoSpaceDE w:val="0"/>
              <w:autoSpaceDN w:val="0"/>
              <w:spacing w:before="20" w:after="20" w:line="240" w:lineRule="atLeast"/>
              <w:jc w:val="center"/>
              <w:textAlignment w:val="bottom"/>
              <w:rPr>
                <w:rFonts w:ascii="宋体" w:hAnsi="宋体"/>
                <w:szCs w:val="21"/>
              </w:rPr>
            </w:pPr>
          </w:p>
        </w:tc>
        <w:tc>
          <w:tcPr>
            <w:tcW w:w="1155" w:type="dxa"/>
            <w:vAlign w:val="center"/>
          </w:tcPr>
          <w:p>
            <w:pPr>
              <w:autoSpaceDE w:val="0"/>
              <w:autoSpaceDN w:val="0"/>
              <w:spacing w:before="20" w:after="20" w:line="240" w:lineRule="atLeast"/>
              <w:jc w:val="center"/>
              <w:textAlignment w:val="bottom"/>
              <w:rPr>
                <w:rFonts w:ascii="宋体" w:hAnsi="宋体"/>
                <w:szCs w:val="21"/>
              </w:rPr>
            </w:pPr>
          </w:p>
        </w:tc>
        <w:tc>
          <w:tcPr>
            <w:tcW w:w="1044" w:type="dxa"/>
            <w:vAlign w:val="center"/>
          </w:tcPr>
          <w:p>
            <w:pPr>
              <w:autoSpaceDE w:val="0"/>
              <w:autoSpaceDN w:val="0"/>
              <w:spacing w:before="20" w:after="20" w:line="240" w:lineRule="atLeast"/>
              <w:jc w:val="center"/>
              <w:textAlignment w:val="bottom"/>
              <w:rPr>
                <w:rFonts w:ascii="宋体" w:hAnsi="宋体"/>
                <w:szCs w:val="21"/>
              </w:rPr>
            </w:pPr>
          </w:p>
        </w:tc>
      </w:tr>
      <w:tr>
        <w:trPr>
          <w:cantSplit/>
          <w:trHeight w:val="680" w:hRule="exact"/>
          <w:jc w:val="center"/>
        </w:trPr>
        <w:tc>
          <w:tcPr>
            <w:tcW w:w="658" w:type="dxa"/>
            <w:vAlign w:val="center"/>
          </w:tcPr>
          <w:p>
            <w:pPr>
              <w:autoSpaceDE w:val="0"/>
              <w:autoSpaceDN w:val="0"/>
              <w:spacing w:before="20" w:after="20" w:line="240" w:lineRule="atLeast"/>
              <w:jc w:val="center"/>
              <w:textAlignment w:val="bottom"/>
              <w:rPr>
                <w:rFonts w:ascii="宋体" w:hAnsi="宋体"/>
                <w:szCs w:val="21"/>
              </w:rPr>
            </w:pPr>
            <w:r>
              <w:rPr>
                <w:rFonts w:ascii="宋体" w:hAnsi="宋体"/>
                <w:szCs w:val="21"/>
              </w:rPr>
              <w:t>13</w:t>
            </w:r>
          </w:p>
        </w:tc>
        <w:tc>
          <w:tcPr>
            <w:tcW w:w="5701" w:type="dxa"/>
            <w:vAlign w:val="center"/>
          </w:tcPr>
          <w:p>
            <w:pPr>
              <w:autoSpaceDE w:val="0"/>
              <w:autoSpaceDN w:val="0"/>
              <w:spacing w:before="20" w:after="20" w:line="240" w:lineRule="atLeast"/>
              <w:ind w:left="113"/>
              <w:textAlignment w:val="bottom"/>
              <w:rPr>
                <w:szCs w:val="21"/>
              </w:rPr>
            </w:pPr>
            <w:r>
              <w:rPr>
                <w:szCs w:val="21"/>
              </w:rPr>
              <w:t>若岸方有标准的无线电检查表，是否已完成并发送？</w:t>
            </w:r>
          </w:p>
        </w:tc>
        <w:tc>
          <w:tcPr>
            <w:tcW w:w="840" w:type="dxa"/>
            <w:vAlign w:val="center"/>
          </w:tcPr>
          <w:p>
            <w:pPr>
              <w:autoSpaceDE w:val="0"/>
              <w:autoSpaceDN w:val="0"/>
              <w:spacing w:before="20" w:after="20" w:line="240" w:lineRule="atLeast"/>
              <w:jc w:val="center"/>
              <w:textAlignment w:val="bottom"/>
              <w:rPr>
                <w:rFonts w:ascii="宋体" w:hAnsi="宋体"/>
                <w:szCs w:val="21"/>
              </w:rPr>
            </w:pPr>
          </w:p>
        </w:tc>
        <w:tc>
          <w:tcPr>
            <w:tcW w:w="1155" w:type="dxa"/>
            <w:vAlign w:val="center"/>
          </w:tcPr>
          <w:p>
            <w:pPr>
              <w:autoSpaceDE w:val="0"/>
              <w:autoSpaceDN w:val="0"/>
              <w:spacing w:before="20" w:after="20" w:line="240" w:lineRule="atLeast"/>
              <w:jc w:val="center"/>
              <w:textAlignment w:val="bottom"/>
              <w:rPr>
                <w:rFonts w:ascii="宋体" w:hAnsi="宋体"/>
                <w:szCs w:val="21"/>
              </w:rPr>
            </w:pPr>
          </w:p>
        </w:tc>
        <w:tc>
          <w:tcPr>
            <w:tcW w:w="1044" w:type="dxa"/>
            <w:vAlign w:val="center"/>
          </w:tcPr>
          <w:p>
            <w:pPr>
              <w:autoSpaceDE w:val="0"/>
              <w:autoSpaceDN w:val="0"/>
              <w:spacing w:before="20" w:after="20" w:line="240" w:lineRule="atLeast"/>
              <w:jc w:val="center"/>
              <w:textAlignment w:val="bottom"/>
              <w:rPr>
                <w:rFonts w:ascii="宋体" w:hAnsi="宋体"/>
                <w:szCs w:val="21"/>
              </w:rPr>
            </w:pPr>
          </w:p>
        </w:tc>
      </w:tr>
    </w:tbl>
    <w:p/>
    <w:p>
      <w:pPr>
        <w:sectPr>
          <w:pgSz w:w="11906" w:h="16838"/>
          <w:pgMar w:top="851" w:right="1134" w:bottom="1134" w:left="1418" w:header="1418" w:footer="1134" w:gutter="0"/>
          <w:cols w:space="720" w:num="1"/>
          <w:formProt w:val="0"/>
          <w:docGrid w:linePitch="312"/>
        </w:sectPr>
      </w:pPr>
    </w:p>
    <w:p>
      <w:pPr>
        <w:pStyle w:val="113"/>
        <w:spacing w:before="120" w:after="120"/>
        <w:rPr>
          <w:rFonts w:hAnsi="黑体"/>
        </w:rPr>
      </w:pPr>
      <w:r>
        <w:rPr>
          <w:rFonts w:hint="eastAsia" w:hAnsi="黑体"/>
        </w:rPr>
        <w:t>原油洗舱作业安全确认表（原油洗舱开始前）</w:t>
      </w:r>
    </w:p>
    <w:p>
      <w:pPr>
        <w:pStyle w:val="113"/>
        <w:numPr>
          <w:ilvl w:val="1"/>
          <w:numId w:val="0"/>
        </w:numPr>
        <w:spacing w:before="120" w:after="120"/>
        <w:jc w:val="right"/>
        <w:rPr>
          <w:rFonts w:hAnsi="黑体"/>
        </w:rPr>
      </w:pPr>
      <w:r>
        <w:rPr>
          <w:rFonts w:hint="eastAsia" w:hAnsi="黑体"/>
        </w:rPr>
        <w:t xml:space="preserve">         年  月  日</w:t>
      </w:r>
    </w:p>
    <w:tbl>
      <w:tblPr>
        <w:tblW w:w="9673"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28" w:type="dxa"/>
          <w:left w:w="28" w:type="dxa"/>
          <w:bottom w:w="28" w:type="dxa"/>
          <w:right w:w="28" w:type="dxa"/>
        </w:tblCellMar>
      </w:tblPr>
      <w:tblGrid>
        <w:gridCol w:w="742"/>
        <w:gridCol w:w="5516"/>
        <w:gridCol w:w="12"/>
        <w:gridCol w:w="850"/>
        <w:gridCol w:w="1277"/>
        <w:gridCol w:w="1276"/>
      </w:tblGrid>
      <w:tr>
        <w:trPr>
          <w:cantSplit/>
          <w:trHeight w:val="680" w:hRule="exact"/>
          <w:jc w:val="center"/>
        </w:trPr>
        <w:tc>
          <w:tcPr>
            <w:tcW w:w="742" w:type="dxa"/>
            <w:vAlign w:val="center"/>
          </w:tcPr>
          <w:p>
            <w:pPr>
              <w:autoSpaceDE w:val="0"/>
              <w:autoSpaceDN w:val="0"/>
              <w:spacing w:before="20" w:after="20" w:line="240" w:lineRule="atLeast"/>
              <w:jc w:val="center"/>
              <w:textAlignment w:val="bottom"/>
              <w:rPr>
                <w:szCs w:val="21"/>
              </w:rPr>
            </w:pPr>
            <w:r>
              <w:rPr>
                <w:szCs w:val="21"/>
              </w:rPr>
              <w:t>序号</w:t>
            </w:r>
          </w:p>
        </w:tc>
        <w:tc>
          <w:tcPr>
            <w:tcW w:w="5528" w:type="dxa"/>
            <w:gridSpan w:val="2"/>
            <w:vAlign w:val="center"/>
          </w:tcPr>
          <w:p>
            <w:pPr>
              <w:autoSpaceDE w:val="0"/>
              <w:autoSpaceDN w:val="0"/>
              <w:spacing w:before="20" w:after="20" w:line="240" w:lineRule="atLeast"/>
              <w:jc w:val="center"/>
              <w:textAlignment w:val="bottom"/>
              <w:rPr>
                <w:szCs w:val="21"/>
              </w:rPr>
            </w:pPr>
            <w:r>
              <w:rPr>
                <w:szCs w:val="21"/>
              </w:rPr>
              <w:t>检</w:t>
            </w:r>
            <w:r>
              <w:rPr>
                <w:szCs w:val="21"/>
              </w:rPr>
              <w:tab/>
            </w:r>
            <w:r>
              <w:rPr>
                <w:szCs w:val="21"/>
              </w:rPr>
              <w:t>查</w:t>
            </w:r>
            <w:r>
              <w:rPr>
                <w:szCs w:val="21"/>
              </w:rPr>
              <w:tab/>
            </w:r>
            <w:r>
              <w:rPr>
                <w:szCs w:val="21"/>
              </w:rPr>
              <w:t>项</w:t>
            </w:r>
            <w:r>
              <w:rPr>
                <w:szCs w:val="21"/>
              </w:rPr>
              <w:tab/>
            </w:r>
            <w:r>
              <w:rPr>
                <w:szCs w:val="21"/>
              </w:rPr>
              <w:t>目</w:t>
            </w:r>
          </w:p>
        </w:tc>
        <w:tc>
          <w:tcPr>
            <w:tcW w:w="850" w:type="dxa"/>
            <w:vAlign w:val="center"/>
          </w:tcPr>
          <w:p>
            <w:pPr>
              <w:autoSpaceDE w:val="0"/>
              <w:autoSpaceDN w:val="0"/>
              <w:spacing w:before="20" w:after="20" w:line="240" w:lineRule="atLeast"/>
              <w:jc w:val="center"/>
              <w:textAlignment w:val="bottom"/>
              <w:rPr>
                <w:szCs w:val="21"/>
              </w:rPr>
            </w:pPr>
            <w:r>
              <w:rPr>
                <w:szCs w:val="21"/>
              </w:rPr>
              <w:t>船  方</w:t>
            </w:r>
          </w:p>
        </w:tc>
        <w:tc>
          <w:tcPr>
            <w:tcW w:w="1277" w:type="dxa"/>
            <w:vAlign w:val="center"/>
          </w:tcPr>
          <w:p>
            <w:pPr>
              <w:autoSpaceDE w:val="0"/>
              <w:autoSpaceDN w:val="0"/>
              <w:spacing w:before="20" w:after="20" w:line="240" w:lineRule="atLeast"/>
              <w:jc w:val="center"/>
              <w:textAlignment w:val="bottom"/>
              <w:rPr>
                <w:szCs w:val="21"/>
              </w:rPr>
            </w:pPr>
            <w:r>
              <w:rPr>
                <w:szCs w:val="21"/>
              </w:rPr>
              <w:t>岸  方</w:t>
            </w:r>
          </w:p>
        </w:tc>
        <w:tc>
          <w:tcPr>
            <w:tcW w:w="1276" w:type="dxa"/>
            <w:vAlign w:val="center"/>
          </w:tcPr>
          <w:p>
            <w:pPr>
              <w:autoSpaceDE w:val="0"/>
              <w:autoSpaceDN w:val="0"/>
              <w:spacing w:before="20" w:after="20" w:line="240" w:lineRule="atLeast"/>
              <w:jc w:val="center"/>
              <w:textAlignment w:val="bottom"/>
              <w:rPr>
                <w:szCs w:val="21"/>
              </w:rPr>
            </w:pPr>
            <w:r>
              <w:rPr>
                <w:szCs w:val="21"/>
              </w:rPr>
              <w:t>备注</w:t>
            </w:r>
          </w:p>
        </w:tc>
      </w:tr>
      <w:tr>
        <w:trPr>
          <w:cantSplit/>
          <w:trHeight w:val="680" w:hRule="exact"/>
          <w:jc w:val="center"/>
        </w:trPr>
        <w:tc>
          <w:tcPr>
            <w:tcW w:w="742" w:type="dxa"/>
            <w:vAlign w:val="center"/>
          </w:tcPr>
          <w:p>
            <w:pPr>
              <w:autoSpaceDE w:val="0"/>
              <w:autoSpaceDN w:val="0"/>
              <w:spacing w:before="20" w:after="20" w:line="240" w:lineRule="atLeast"/>
              <w:jc w:val="center"/>
              <w:textAlignment w:val="bottom"/>
              <w:rPr>
                <w:rFonts w:ascii="宋体" w:hAnsi="宋体"/>
                <w:szCs w:val="21"/>
              </w:rPr>
            </w:pPr>
            <w:r>
              <w:rPr>
                <w:rFonts w:ascii="宋体" w:hAnsi="宋体"/>
                <w:szCs w:val="21"/>
              </w:rPr>
              <w:t>1</w:t>
            </w:r>
          </w:p>
        </w:tc>
        <w:tc>
          <w:tcPr>
            <w:tcW w:w="5516" w:type="dxa"/>
            <w:vAlign w:val="center"/>
          </w:tcPr>
          <w:p>
            <w:pPr>
              <w:autoSpaceDE w:val="0"/>
              <w:autoSpaceDN w:val="0"/>
              <w:spacing w:before="20" w:after="20" w:line="240" w:lineRule="atLeast"/>
              <w:ind w:left="113"/>
              <w:textAlignment w:val="bottom"/>
              <w:rPr>
                <w:szCs w:val="21"/>
              </w:rPr>
            </w:pPr>
            <w:r>
              <w:rPr>
                <w:szCs w:val="21"/>
              </w:rPr>
              <w:t>是否已完成抵港前检查并状况良好？</w:t>
            </w:r>
          </w:p>
        </w:tc>
        <w:tc>
          <w:tcPr>
            <w:tcW w:w="862" w:type="dxa"/>
            <w:gridSpan w:val="2"/>
            <w:vAlign w:val="top"/>
          </w:tcPr>
          <w:p>
            <w:pPr>
              <w:autoSpaceDE w:val="0"/>
              <w:autoSpaceDN w:val="0"/>
              <w:spacing w:before="20" w:after="20" w:line="240" w:lineRule="atLeast"/>
              <w:jc w:val="center"/>
              <w:textAlignment w:val="bottom"/>
              <w:rPr>
                <w:rFonts w:ascii="宋体" w:hAnsi="宋体"/>
                <w:szCs w:val="21"/>
              </w:rPr>
            </w:pPr>
          </w:p>
        </w:tc>
        <w:tc>
          <w:tcPr>
            <w:tcW w:w="1277" w:type="dxa"/>
            <w:vAlign w:val="top"/>
          </w:tcPr>
          <w:p>
            <w:pPr>
              <w:autoSpaceDE w:val="0"/>
              <w:autoSpaceDN w:val="0"/>
              <w:spacing w:before="20" w:after="20" w:line="240" w:lineRule="atLeast"/>
              <w:jc w:val="center"/>
              <w:textAlignment w:val="bottom"/>
              <w:rPr>
                <w:rFonts w:ascii="宋体" w:hAnsi="宋体"/>
                <w:szCs w:val="21"/>
              </w:rPr>
            </w:pPr>
          </w:p>
        </w:tc>
        <w:tc>
          <w:tcPr>
            <w:tcW w:w="1276" w:type="dxa"/>
            <w:vAlign w:val="top"/>
          </w:tcPr>
          <w:p>
            <w:pPr>
              <w:autoSpaceDE w:val="0"/>
              <w:autoSpaceDN w:val="0"/>
              <w:spacing w:before="20" w:after="20" w:line="240" w:lineRule="atLeast"/>
              <w:jc w:val="center"/>
              <w:textAlignment w:val="bottom"/>
              <w:rPr>
                <w:rFonts w:ascii="宋体" w:hAnsi="宋体"/>
                <w:szCs w:val="21"/>
              </w:rPr>
            </w:pPr>
          </w:p>
        </w:tc>
      </w:tr>
      <w:tr>
        <w:trPr>
          <w:cantSplit/>
          <w:trHeight w:val="680" w:hRule="exact"/>
          <w:jc w:val="center"/>
        </w:trPr>
        <w:tc>
          <w:tcPr>
            <w:tcW w:w="742" w:type="dxa"/>
            <w:vAlign w:val="center"/>
          </w:tcPr>
          <w:p>
            <w:pPr>
              <w:autoSpaceDE w:val="0"/>
              <w:autoSpaceDN w:val="0"/>
              <w:spacing w:before="20" w:after="20" w:line="240" w:lineRule="atLeast"/>
              <w:jc w:val="center"/>
              <w:textAlignment w:val="bottom"/>
              <w:rPr>
                <w:rFonts w:ascii="宋体" w:hAnsi="宋体"/>
                <w:szCs w:val="21"/>
              </w:rPr>
            </w:pPr>
            <w:r>
              <w:rPr>
                <w:rFonts w:ascii="宋体" w:hAnsi="宋体"/>
                <w:szCs w:val="21"/>
              </w:rPr>
              <w:t>2</w:t>
            </w:r>
          </w:p>
        </w:tc>
        <w:tc>
          <w:tcPr>
            <w:tcW w:w="5516" w:type="dxa"/>
            <w:vAlign w:val="center"/>
          </w:tcPr>
          <w:p>
            <w:pPr>
              <w:autoSpaceDE w:val="0"/>
              <w:autoSpaceDN w:val="0"/>
              <w:spacing w:before="20" w:after="20" w:line="240" w:lineRule="atLeast"/>
              <w:ind w:left="113"/>
              <w:textAlignment w:val="bottom"/>
              <w:rPr>
                <w:szCs w:val="21"/>
              </w:rPr>
            </w:pPr>
            <w:r>
              <w:rPr>
                <w:szCs w:val="21"/>
              </w:rPr>
              <w:t>船岸双方是否进行了卸货/洗舱操作计划的磋商并取得一致？</w:t>
            </w:r>
          </w:p>
        </w:tc>
        <w:tc>
          <w:tcPr>
            <w:tcW w:w="862" w:type="dxa"/>
            <w:gridSpan w:val="2"/>
            <w:vAlign w:val="top"/>
          </w:tcPr>
          <w:p>
            <w:pPr>
              <w:autoSpaceDE w:val="0"/>
              <w:autoSpaceDN w:val="0"/>
              <w:spacing w:before="20" w:after="20" w:line="240" w:lineRule="atLeast"/>
              <w:jc w:val="center"/>
              <w:textAlignment w:val="bottom"/>
              <w:rPr>
                <w:rFonts w:ascii="宋体" w:hAnsi="宋体"/>
                <w:szCs w:val="21"/>
              </w:rPr>
            </w:pPr>
          </w:p>
        </w:tc>
        <w:tc>
          <w:tcPr>
            <w:tcW w:w="1277" w:type="dxa"/>
            <w:vAlign w:val="top"/>
          </w:tcPr>
          <w:p>
            <w:pPr>
              <w:autoSpaceDE w:val="0"/>
              <w:autoSpaceDN w:val="0"/>
              <w:spacing w:before="20" w:after="20" w:line="240" w:lineRule="atLeast"/>
              <w:jc w:val="center"/>
              <w:textAlignment w:val="bottom"/>
              <w:rPr>
                <w:rFonts w:ascii="宋体" w:hAnsi="宋体"/>
                <w:szCs w:val="21"/>
              </w:rPr>
            </w:pPr>
          </w:p>
        </w:tc>
        <w:tc>
          <w:tcPr>
            <w:tcW w:w="1276" w:type="dxa"/>
            <w:vAlign w:val="top"/>
          </w:tcPr>
          <w:p>
            <w:pPr>
              <w:autoSpaceDE w:val="0"/>
              <w:autoSpaceDN w:val="0"/>
              <w:spacing w:before="20" w:after="20" w:line="240" w:lineRule="atLeast"/>
              <w:jc w:val="center"/>
              <w:textAlignment w:val="bottom"/>
              <w:rPr>
                <w:rFonts w:ascii="宋体" w:hAnsi="宋体"/>
                <w:szCs w:val="21"/>
              </w:rPr>
            </w:pPr>
          </w:p>
        </w:tc>
      </w:tr>
      <w:tr>
        <w:trPr>
          <w:cantSplit/>
          <w:trHeight w:val="680" w:hRule="exact"/>
          <w:jc w:val="center"/>
        </w:trPr>
        <w:tc>
          <w:tcPr>
            <w:tcW w:w="742" w:type="dxa"/>
            <w:vAlign w:val="center"/>
          </w:tcPr>
          <w:p>
            <w:pPr>
              <w:autoSpaceDE w:val="0"/>
              <w:autoSpaceDN w:val="0"/>
              <w:spacing w:before="20" w:after="20" w:line="240" w:lineRule="atLeast"/>
              <w:jc w:val="center"/>
              <w:textAlignment w:val="bottom"/>
              <w:rPr>
                <w:rFonts w:ascii="宋体" w:hAnsi="宋体"/>
                <w:szCs w:val="21"/>
              </w:rPr>
            </w:pPr>
            <w:r>
              <w:rPr>
                <w:rFonts w:ascii="宋体" w:hAnsi="宋体"/>
                <w:szCs w:val="21"/>
              </w:rPr>
              <w:t>3</w:t>
            </w:r>
          </w:p>
        </w:tc>
        <w:tc>
          <w:tcPr>
            <w:tcW w:w="5516" w:type="dxa"/>
            <w:vAlign w:val="center"/>
          </w:tcPr>
          <w:p>
            <w:pPr>
              <w:autoSpaceDE w:val="0"/>
              <w:autoSpaceDN w:val="0"/>
              <w:spacing w:before="20" w:after="20" w:line="240" w:lineRule="atLeast"/>
              <w:ind w:left="113"/>
              <w:textAlignment w:val="bottom"/>
              <w:rPr>
                <w:szCs w:val="21"/>
              </w:rPr>
            </w:pPr>
            <w:r>
              <w:rPr>
                <w:szCs w:val="21"/>
              </w:rPr>
              <w:t>甲板/货控室以及货控室/岸方的通讯联络是否已建立并工作正常？</w:t>
            </w:r>
          </w:p>
        </w:tc>
        <w:tc>
          <w:tcPr>
            <w:tcW w:w="862" w:type="dxa"/>
            <w:gridSpan w:val="2"/>
            <w:vAlign w:val="top"/>
          </w:tcPr>
          <w:p>
            <w:pPr>
              <w:autoSpaceDE w:val="0"/>
              <w:autoSpaceDN w:val="0"/>
              <w:spacing w:before="20" w:after="20" w:line="240" w:lineRule="atLeast"/>
              <w:jc w:val="center"/>
              <w:textAlignment w:val="bottom"/>
              <w:rPr>
                <w:rFonts w:ascii="宋体" w:hAnsi="宋体"/>
                <w:szCs w:val="21"/>
              </w:rPr>
            </w:pPr>
          </w:p>
        </w:tc>
        <w:tc>
          <w:tcPr>
            <w:tcW w:w="1277" w:type="dxa"/>
            <w:vAlign w:val="top"/>
          </w:tcPr>
          <w:p>
            <w:pPr>
              <w:autoSpaceDE w:val="0"/>
              <w:autoSpaceDN w:val="0"/>
              <w:spacing w:before="20" w:after="20" w:line="240" w:lineRule="atLeast"/>
              <w:jc w:val="center"/>
              <w:textAlignment w:val="bottom"/>
              <w:rPr>
                <w:rFonts w:ascii="宋体" w:hAnsi="宋体"/>
                <w:szCs w:val="21"/>
              </w:rPr>
            </w:pPr>
          </w:p>
        </w:tc>
        <w:tc>
          <w:tcPr>
            <w:tcW w:w="1276" w:type="dxa"/>
            <w:vAlign w:val="top"/>
          </w:tcPr>
          <w:p>
            <w:pPr>
              <w:autoSpaceDE w:val="0"/>
              <w:autoSpaceDN w:val="0"/>
              <w:spacing w:before="20" w:after="20" w:line="240" w:lineRule="atLeast"/>
              <w:jc w:val="center"/>
              <w:textAlignment w:val="bottom"/>
              <w:rPr>
                <w:rFonts w:ascii="宋体" w:hAnsi="宋体"/>
                <w:szCs w:val="21"/>
              </w:rPr>
            </w:pPr>
          </w:p>
        </w:tc>
      </w:tr>
      <w:tr>
        <w:trPr>
          <w:cantSplit/>
          <w:trHeight w:val="680" w:hRule="exact"/>
          <w:jc w:val="center"/>
        </w:trPr>
        <w:tc>
          <w:tcPr>
            <w:tcW w:w="742" w:type="dxa"/>
            <w:vAlign w:val="center"/>
          </w:tcPr>
          <w:p>
            <w:pPr>
              <w:autoSpaceDE w:val="0"/>
              <w:autoSpaceDN w:val="0"/>
              <w:spacing w:before="20" w:after="20" w:line="240" w:lineRule="atLeast"/>
              <w:jc w:val="center"/>
              <w:textAlignment w:val="bottom"/>
              <w:rPr>
                <w:rFonts w:ascii="宋体" w:hAnsi="宋体"/>
                <w:szCs w:val="21"/>
              </w:rPr>
            </w:pPr>
            <w:r>
              <w:rPr>
                <w:rFonts w:ascii="宋体" w:hAnsi="宋体"/>
                <w:szCs w:val="21"/>
              </w:rPr>
              <w:t>4</w:t>
            </w:r>
          </w:p>
        </w:tc>
        <w:tc>
          <w:tcPr>
            <w:tcW w:w="5516" w:type="dxa"/>
            <w:vAlign w:val="center"/>
          </w:tcPr>
          <w:p>
            <w:pPr>
              <w:autoSpaceDE w:val="0"/>
              <w:autoSpaceDN w:val="0"/>
              <w:spacing w:before="20" w:after="20" w:line="240" w:lineRule="atLeast"/>
              <w:ind w:left="113"/>
              <w:textAlignment w:val="bottom"/>
              <w:rPr>
                <w:szCs w:val="21"/>
              </w:rPr>
            </w:pPr>
            <w:r>
              <w:rPr>
                <w:szCs w:val="21"/>
              </w:rPr>
              <w:t>船岸双方是否进行了洗舱中断状态和程序的磋商并取得一致？</w:t>
            </w:r>
          </w:p>
        </w:tc>
        <w:tc>
          <w:tcPr>
            <w:tcW w:w="862" w:type="dxa"/>
            <w:gridSpan w:val="2"/>
            <w:vAlign w:val="top"/>
          </w:tcPr>
          <w:p>
            <w:pPr>
              <w:autoSpaceDE w:val="0"/>
              <w:autoSpaceDN w:val="0"/>
              <w:spacing w:before="20" w:after="20" w:line="240" w:lineRule="atLeast"/>
              <w:jc w:val="center"/>
              <w:textAlignment w:val="bottom"/>
              <w:rPr>
                <w:rFonts w:ascii="宋体" w:hAnsi="宋体"/>
                <w:szCs w:val="21"/>
              </w:rPr>
            </w:pPr>
          </w:p>
        </w:tc>
        <w:tc>
          <w:tcPr>
            <w:tcW w:w="1277" w:type="dxa"/>
            <w:vAlign w:val="top"/>
          </w:tcPr>
          <w:p>
            <w:pPr>
              <w:autoSpaceDE w:val="0"/>
              <w:autoSpaceDN w:val="0"/>
              <w:spacing w:before="20" w:after="20" w:line="240" w:lineRule="atLeast"/>
              <w:jc w:val="center"/>
              <w:textAlignment w:val="bottom"/>
              <w:rPr>
                <w:rFonts w:ascii="宋体" w:hAnsi="宋体"/>
                <w:szCs w:val="21"/>
              </w:rPr>
            </w:pPr>
          </w:p>
        </w:tc>
        <w:tc>
          <w:tcPr>
            <w:tcW w:w="1276" w:type="dxa"/>
            <w:vAlign w:val="top"/>
          </w:tcPr>
          <w:p>
            <w:pPr>
              <w:autoSpaceDE w:val="0"/>
              <w:autoSpaceDN w:val="0"/>
              <w:spacing w:before="20" w:after="20" w:line="240" w:lineRule="atLeast"/>
              <w:jc w:val="center"/>
              <w:textAlignment w:val="bottom"/>
              <w:rPr>
                <w:rFonts w:ascii="宋体" w:hAnsi="宋体"/>
                <w:szCs w:val="21"/>
              </w:rPr>
            </w:pPr>
          </w:p>
        </w:tc>
      </w:tr>
      <w:tr>
        <w:trPr>
          <w:cantSplit/>
          <w:trHeight w:val="680" w:hRule="exact"/>
          <w:jc w:val="center"/>
        </w:trPr>
        <w:tc>
          <w:tcPr>
            <w:tcW w:w="742" w:type="dxa"/>
            <w:vAlign w:val="center"/>
          </w:tcPr>
          <w:p>
            <w:pPr>
              <w:autoSpaceDE w:val="0"/>
              <w:autoSpaceDN w:val="0"/>
              <w:spacing w:before="20" w:after="20" w:line="240" w:lineRule="atLeast"/>
              <w:jc w:val="center"/>
              <w:textAlignment w:val="bottom"/>
              <w:rPr>
                <w:rFonts w:ascii="宋体" w:hAnsi="宋体"/>
                <w:szCs w:val="21"/>
              </w:rPr>
            </w:pPr>
            <w:r>
              <w:rPr>
                <w:rFonts w:ascii="宋体" w:hAnsi="宋体"/>
                <w:szCs w:val="21"/>
              </w:rPr>
              <w:t>5</w:t>
            </w:r>
          </w:p>
        </w:tc>
        <w:tc>
          <w:tcPr>
            <w:tcW w:w="5516" w:type="dxa"/>
            <w:vAlign w:val="center"/>
          </w:tcPr>
          <w:p>
            <w:pPr>
              <w:autoSpaceDE w:val="0"/>
              <w:autoSpaceDN w:val="0"/>
              <w:spacing w:before="20" w:after="20" w:line="240" w:lineRule="atLeast"/>
              <w:ind w:left="113"/>
              <w:textAlignment w:val="bottom"/>
              <w:rPr>
                <w:szCs w:val="21"/>
              </w:rPr>
            </w:pPr>
            <w:r>
              <w:rPr>
                <w:szCs w:val="21"/>
              </w:rPr>
              <w:t>固定式和手提式测氧仪是否经过检查和测试并工作正常？</w:t>
            </w:r>
          </w:p>
        </w:tc>
        <w:tc>
          <w:tcPr>
            <w:tcW w:w="862" w:type="dxa"/>
            <w:gridSpan w:val="2"/>
            <w:vAlign w:val="top"/>
          </w:tcPr>
          <w:p>
            <w:pPr>
              <w:autoSpaceDE w:val="0"/>
              <w:autoSpaceDN w:val="0"/>
              <w:spacing w:before="20" w:after="20" w:line="240" w:lineRule="atLeast"/>
              <w:jc w:val="center"/>
              <w:textAlignment w:val="bottom"/>
              <w:rPr>
                <w:rFonts w:ascii="宋体" w:hAnsi="宋体"/>
                <w:szCs w:val="21"/>
              </w:rPr>
            </w:pPr>
          </w:p>
        </w:tc>
        <w:tc>
          <w:tcPr>
            <w:tcW w:w="1277" w:type="dxa"/>
            <w:vAlign w:val="top"/>
          </w:tcPr>
          <w:p>
            <w:pPr>
              <w:autoSpaceDE w:val="0"/>
              <w:autoSpaceDN w:val="0"/>
              <w:spacing w:before="20" w:after="20" w:line="240" w:lineRule="atLeast"/>
              <w:jc w:val="center"/>
              <w:textAlignment w:val="bottom"/>
              <w:rPr>
                <w:rFonts w:ascii="宋体" w:hAnsi="宋体"/>
                <w:szCs w:val="21"/>
              </w:rPr>
            </w:pPr>
          </w:p>
        </w:tc>
        <w:tc>
          <w:tcPr>
            <w:tcW w:w="1276" w:type="dxa"/>
            <w:vAlign w:val="top"/>
          </w:tcPr>
          <w:p>
            <w:pPr>
              <w:autoSpaceDE w:val="0"/>
              <w:autoSpaceDN w:val="0"/>
              <w:spacing w:before="20" w:after="20" w:line="240" w:lineRule="atLeast"/>
              <w:jc w:val="center"/>
              <w:textAlignment w:val="bottom"/>
              <w:rPr>
                <w:rFonts w:ascii="宋体" w:hAnsi="宋体"/>
                <w:szCs w:val="21"/>
              </w:rPr>
            </w:pPr>
          </w:p>
        </w:tc>
      </w:tr>
      <w:tr>
        <w:trPr>
          <w:cantSplit/>
          <w:trHeight w:val="680" w:hRule="exact"/>
          <w:jc w:val="center"/>
        </w:trPr>
        <w:tc>
          <w:tcPr>
            <w:tcW w:w="742" w:type="dxa"/>
            <w:vAlign w:val="center"/>
          </w:tcPr>
          <w:p>
            <w:pPr>
              <w:autoSpaceDE w:val="0"/>
              <w:autoSpaceDN w:val="0"/>
              <w:spacing w:before="20" w:after="20" w:line="240" w:lineRule="atLeast"/>
              <w:jc w:val="center"/>
              <w:textAlignment w:val="bottom"/>
              <w:rPr>
                <w:rFonts w:ascii="宋体" w:hAnsi="宋体"/>
                <w:szCs w:val="21"/>
              </w:rPr>
            </w:pPr>
            <w:r>
              <w:rPr>
                <w:rFonts w:ascii="宋体" w:hAnsi="宋体"/>
                <w:szCs w:val="21"/>
              </w:rPr>
              <w:t>6</w:t>
            </w:r>
          </w:p>
        </w:tc>
        <w:tc>
          <w:tcPr>
            <w:tcW w:w="5516" w:type="dxa"/>
            <w:vAlign w:val="center"/>
          </w:tcPr>
          <w:p>
            <w:pPr>
              <w:autoSpaceDE w:val="0"/>
              <w:autoSpaceDN w:val="0"/>
              <w:spacing w:before="20" w:after="20" w:line="240" w:lineRule="atLeast"/>
              <w:ind w:left="113"/>
              <w:textAlignment w:val="bottom"/>
              <w:rPr>
                <w:szCs w:val="21"/>
              </w:rPr>
            </w:pPr>
            <w:r>
              <w:rPr>
                <w:szCs w:val="21"/>
              </w:rPr>
              <w:t>惰气系统工作是否正常？供应惰气的含氧量是否在5%以下？</w:t>
            </w:r>
          </w:p>
        </w:tc>
        <w:tc>
          <w:tcPr>
            <w:tcW w:w="862" w:type="dxa"/>
            <w:gridSpan w:val="2"/>
            <w:vAlign w:val="top"/>
          </w:tcPr>
          <w:p>
            <w:pPr>
              <w:autoSpaceDE w:val="0"/>
              <w:autoSpaceDN w:val="0"/>
              <w:spacing w:before="20" w:after="20" w:line="240" w:lineRule="atLeast"/>
              <w:jc w:val="center"/>
              <w:textAlignment w:val="bottom"/>
              <w:rPr>
                <w:rFonts w:ascii="宋体" w:hAnsi="宋体"/>
                <w:szCs w:val="21"/>
              </w:rPr>
            </w:pPr>
          </w:p>
        </w:tc>
        <w:tc>
          <w:tcPr>
            <w:tcW w:w="1277" w:type="dxa"/>
            <w:vAlign w:val="top"/>
          </w:tcPr>
          <w:p>
            <w:pPr>
              <w:autoSpaceDE w:val="0"/>
              <w:autoSpaceDN w:val="0"/>
              <w:spacing w:before="20" w:after="20" w:line="240" w:lineRule="atLeast"/>
              <w:jc w:val="center"/>
              <w:textAlignment w:val="bottom"/>
              <w:rPr>
                <w:rFonts w:ascii="宋体" w:hAnsi="宋体"/>
                <w:szCs w:val="21"/>
              </w:rPr>
            </w:pPr>
          </w:p>
        </w:tc>
        <w:tc>
          <w:tcPr>
            <w:tcW w:w="1276" w:type="dxa"/>
            <w:vAlign w:val="top"/>
          </w:tcPr>
          <w:p>
            <w:pPr>
              <w:autoSpaceDE w:val="0"/>
              <w:autoSpaceDN w:val="0"/>
              <w:spacing w:before="20" w:after="20" w:line="240" w:lineRule="atLeast"/>
              <w:jc w:val="center"/>
              <w:textAlignment w:val="bottom"/>
              <w:rPr>
                <w:rFonts w:ascii="宋体" w:hAnsi="宋体"/>
                <w:szCs w:val="21"/>
              </w:rPr>
            </w:pPr>
          </w:p>
        </w:tc>
      </w:tr>
      <w:tr>
        <w:trPr>
          <w:cantSplit/>
          <w:trHeight w:val="680" w:hRule="exact"/>
          <w:jc w:val="center"/>
        </w:trPr>
        <w:tc>
          <w:tcPr>
            <w:tcW w:w="742" w:type="dxa"/>
            <w:vAlign w:val="center"/>
          </w:tcPr>
          <w:p>
            <w:pPr>
              <w:autoSpaceDE w:val="0"/>
              <w:autoSpaceDN w:val="0"/>
              <w:spacing w:before="20" w:after="20" w:line="240" w:lineRule="atLeast"/>
              <w:jc w:val="center"/>
              <w:textAlignment w:val="bottom"/>
              <w:rPr>
                <w:rFonts w:ascii="宋体" w:hAnsi="宋体"/>
                <w:szCs w:val="21"/>
              </w:rPr>
            </w:pPr>
            <w:r>
              <w:rPr>
                <w:rFonts w:hint="eastAsia" w:ascii="宋体" w:hAnsi="宋体"/>
                <w:szCs w:val="21"/>
              </w:rPr>
              <w:t>7</w:t>
            </w:r>
          </w:p>
        </w:tc>
        <w:tc>
          <w:tcPr>
            <w:tcW w:w="5516" w:type="dxa"/>
            <w:vAlign w:val="center"/>
          </w:tcPr>
          <w:p>
            <w:pPr>
              <w:autoSpaceDE w:val="0"/>
              <w:autoSpaceDN w:val="0"/>
              <w:spacing w:before="20" w:after="20" w:line="240" w:lineRule="atLeast"/>
              <w:ind w:left="113"/>
              <w:textAlignment w:val="bottom"/>
              <w:rPr>
                <w:szCs w:val="21"/>
              </w:rPr>
            </w:pPr>
            <w:r>
              <w:rPr>
                <w:szCs w:val="21"/>
              </w:rPr>
              <w:t>要进行原油洗舱的舱室内氧气浓度是否在8%以下？</w:t>
            </w:r>
          </w:p>
        </w:tc>
        <w:tc>
          <w:tcPr>
            <w:tcW w:w="862" w:type="dxa"/>
            <w:gridSpan w:val="2"/>
            <w:vAlign w:val="top"/>
          </w:tcPr>
          <w:p>
            <w:pPr>
              <w:autoSpaceDE w:val="0"/>
              <w:autoSpaceDN w:val="0"/>
              <w:spacing w:before="20" w:after="20" w:line="240" w:lineRule="atLeast"/>
              <w:jc w:val="center"/>
              <w:textAlignment w:val="bottom"/>
              <w:rPr>
                <w:rFonts w:ascii="宋体" w:hAnsi="宋体"/>
                <w:szCs w:val="21"/>
              </w:rPr>
            </w:pPr>
          </w:p>
        </w:tc>
        <w:tc>
          <w:tcPr>
            <w:tcW w:w="1277" w:type="dxa"/>
            <w:vAlign w:val="top"/>
          </w:tcPr>
          <w:p>
            <w:pPr>
              <w:autoSpaceDE w:val="0"/>
              <w:autoSpaceDN w:val="0"/>
              <w:spacing w:before="20" w:after="20" w:line="240" w:lineRule="atLeast"/>
              <w:jc w:val="center"/>
              <w:textAlignment w:val="bottom"/>
              <w:rPr>
                <w:rFonts w:ascii="宋体" w:hAnsi="宋体"/>
                <w:szCs w:val="21"/>
              </w:rPr>
            </w:pPr>
          </w:p>
        </w:tc>
        <w:tc>
          <w:tcPr>
            <w:tcW w:w="1276" w:type="dxa"/>
            <w:vAlign w:val="top"/>
          </w:tcPr>
          <w:p>
            <w:pPr>
              <w:autoSpaceDE w:val="0"/>
              <w:autoSpaceDN w:val="0"/>
              <w:spacing w:before="20" w:after="20" w:line="240" w:lineRule="atLeast"/>
              <w:jc w:val="center"/>
              <w:textAlignment w:val="bottom"/>
              <w:rPr>
                <w:rFonts w:ascii="宋体" w:hAnsi="宋体"/>
                <w:szCs w:val="21"/>
              </w:rPr>
            </w:pPr>
          </w:p>
        </w:tc>
      </w:tr>
      <w:tr>
        <w:trPr>
          <w:cantSplit/>
          <w:trHeight w:val="680" w:hRule="exact"/>
          <w:jc w:val="center"/>
        </w:trPr>
        <w:tc>
          <w:tcPr>
            <w:tcW w:w="742" w:type="dxa"/>
            <w:vAlign w:val="center"/>
          </w:tcPr>
          <w:p>
            <w:pPr>
              <w:autoSpaceDE w:val="0"/>
              <w:autoSpaceDN w:val="0"/>
              <w:spacing w:before="20" w:after="20" w:line="240" w:lineRule="atLeast"/>
              <w:jc w:val="center"/>
              <w:textAlignment w:val="bottom"/>
              <w:rPr>
                <w:rFonts w:ascii="宋体" w:hAnsi="宋体"/>
                <w:szCs w:val="21"/>
              </w:rPr>
            </w:pPr>
            <w:r>
              <w:rPr>
                <w:rFonts w:hint="eastAsia" w:ascii="宋体" w:hAnsi="宋体"/>
                <w:szCs w:val="21"/>
              </w:rPr>
              <w:t>8</w:t>
            </w:r>
          </w:p>
        </w:tc>
        <w:tc>
          <w:tcPr>
            <w:tcW w:w="5516" w:type="dxa"/>
            <w:vAlign w:val="center"/>
          </w:tcPr>
          <w:p>
            <w:pPr>
              <w:autoSpaceDE w:val="0"/>
              <w:autoSpaceDN w:val="0"/>
              <w:spacing w:before="20" w:after="20" w:line="240" w:lineRule="atLeast"/>
              <w:ind w:left="113"/>
              <w:textAlignment w:val="bottom"/>
              <w:rPr>
                <w:szCs w:val="21"/>
              </w:rPr>
            </w:pPr>
            <w:r>
              <w:rPr>
                <w:szCs w:val="21"/>
              </w:rPr>
              <w:t>所有油舱内压力是否保持适当正压(100mm水柱以上)？</w:t>
            </w:r>
          </w:p>
        </w:tc>
        <w:tc>
          <w:tcPr>
            <w:tcW w:w="862" w:type="dxa"/>
            <w:gridSpan w:val="2"/>
            <w:vAlign w:val="top"/>
          </w:tcPr>
          <w:p>
            <w:pPr>
              <w:autoSpaceDE w:val="0"/>
              <w:autoSpaceDN w:val="0"/>
              <w:spacing w:before="20" w:after="20" w:line="240" w:lineRule="atLeast"/>
              <w:jc w:val="center"/>
              <w:textAlignment w:val="bottom"/>
              <w:rPr>
                <w:rFonts w:ascii="宋体" w:hAnsi="宋体"/>
                <w:szCs w:val="21"/>
              </w:rPr>
            </w:pPr>
          </w:p>
        </w:tc>
        <w:tc>
          <w:tcPr>
            <w:tcW w:w="1277" w:type="dxa"/>
            <w:vAlign w:val="top"/>
          </w:tcPr>
          <w:p>
            <w:pPr>
              <w:autoSpaceDE w:val="0"/>
              <w:autoSpaceDN w:val="0"/>
              <w:spacing w:before="20" w:after="20" w:line="240" w:lineRule="atLeast"/>
              <w:jc w:val="center"/>
              <w:textAlignment w:val="bottom"/>
              <w:rPr>
                <w:rFonts w:ascii="宋体" w:hAnsi="宋体"/>
                <w:szCs w:val="21"/>
              </w:rPr>
            </w:pPr>
          </w:p>
        </w:tc>
        <w:tc>
          <w:tcPr>
            <w:tcW w:w="1276" w:type="dxa"/>
            <w:vAlign w:val="top"/>
          </w:tcPr>
          <w:p>
            <w:pPr>
              <w:autoSpaceDE w:val="0"/>
              <w:autoSpaceDN w:val="0"/>
              <w:spacing w:before="20" w:after="20" w:line="240" w:lineRule="atLeast"/>
              <w:jc w:val="center"/>
              <w:textAlignment w:val="bottom"/>
              <w:rPr>
                <w:rFonts w:ascii="宋体" w:hAnsi="宋体"/>
                <w:szCs w:val="21"/>
              </w:rPr>
            </w:pPr>
          </w:p>
        </w:tc>
      </w:tr>
      <w:tr>
        <w:trPr>
          <w:cantSplit/>
          <w:trHeight w:val="680" w:hRule="exact"/>
          <w:jc w:val="center"/>
        </w:trPr>
        <w:tc>
          <w:tcPr>
            <w:tcW w:w="742" w:type="dxa"/>
            <w:vAlign w:val="center"/>
          </w:tcPr>
          <w:p>
            <w:pPr>
              <w:autoSpaceDE w:val="0"/>
              <w:autoSpaceDN w:val="0"/>
              <w:spacing w:before="20" w:after="20" w:line="240" w:lineRule="atLeast"/>
              <w:jc w:val="center"/>
              <w:textAlignment w:val="bottom"/>
              <w:rPr>
                <w:rFonts w:ascii="宋体" w:hAnsi="宋体"/>
                <w:szCs w:val="21"/>
              </w:rPr>
            </w:pPr>
            <w:r>
              <w:rPr>
                <w:rFonts w:hint="eastAsia" w:ascii="宋体" w:hAnsi="宋体"/>
                <w:szCs w:val="21"/>
              </w:rPr>
              <w:t>9</w:t>
            </w:r>
          </w:p>
        </w:tc>
        <w:tc>
          <w:tcPr>
            <w:tcW w:w="5516" w:type="dxa"/>
            <w:vAlign w:val="center"/>
          </w:tcPr>
          <w:p>
            <w:pPr>
              <w:autoSpaceDE w:val="0"/>
              <w:autoSpaceDN w:val="0"/>
              <w:spacing w:before="20" w:after="20" w:line="240" w:lineRule="atLeast"/>
              <w:ind w:left="113"/>
              <w:textAlignment w:val="bottom"/>
              <w:rPr>
                <w:szCs w:val="21"/>
              </w:rPr>
            </w:pPr>
            <w:r>
              <w:rPr>
                <w:szCs w:val="21"/>
              </w:rPr>
              <w:t>洗舱开始是否已指定责任人检查所有甲板管线的泄漏？</w:t>
            </w:r>
          </w:p>
        </w:tc>
        <w:tc>
          <w:tcPr>
            <w:tcW w:w="862" w:type="dxa"/>
            <w:gridSpan w:val="2"/>
            <w:vAlign w:val="top"/>
          </w:tcPr>
          <w:p>
            <w:pPr>
              <w:autoSpaceDE w:val="0"/>
              <w:autoSpaceDN w:val="0"/>
              <w:spacing w:before="20" w:after="20" w:line="240" w:lineRule="atLeast"/>
              <w:jc w:val="center"/>
              <w:textAlignment w:val="bottom"/>
              <w:rPr>
                <w:rFonts w:ascii="宋体" w:hAnsi="宋体"/>
                <w:szCs w:val="21"/>
              </w:rPr>
            </w:pPr>
          </w:p>
        </w:tc>
        <w:tc>
          <w:tcPr>
            <w:tcW w:w="1277" w:type="dxa"/>
            <w:vAlign w:val="top"/>
          </w:tcPr>
          <w:p>
            <w:pPr>
              <w:autoSpaceDE w:val="0"/>
              <w:autoSpaceDN w:val="0"/>
              <w:spacing w:before="20" w:after="20" w:line="240" w:lineRule="atLeast"/>
              <w:jc w:val="center"/>
              <w:textAlignment w:val="bottom"/>
              <w:rPr>
                <w:rFonts w:ascii="宋体" w:hAnsi="宋体"/>
                <w:szCs w:val="21"/>
              </w:rPr>
            </w:pPr>
          </w:p>
        </w:tc>
        <w:tc>
          <w:tcPr>
            <w:tcW w:w="1276" w:type="dxa"/>
            <w:vAlign w:val="top"/>
          </w:tcPr>
          <w:p>
            <w:pPr>
              <w:autoSpaceDE w:val="0"/>
              <w:autoSpaceDN w:val="0"/>
              <w:spacing w:before="20" w:after="20" w:line="240" w:lineRule="atLeast"/>
              <w:jc w:val="center"/>
              <w:textAlignment w:val="bottom"/>
              <w:rPr>
                <w:rFonts w:ascii="宋体" w:hAnsi="宋体"/>
                <w:szCs w:val="21"/>
              </w:rPr>
            </w:pPr>
          </w:p>
        </w:tc>
      </w:tr>
      <w:tr>
        <w:trPr>
          <w:cantSplit/>
          <w:trHeight w:val="680" w:hRule="exact"/>
          <w:jc w:val="center"/>
        </w:trPr>
        <w:tc>
          <w:tcPr>
            <w:tcW w:w="742" w:type="dxa"/>
            <w:vAlign w:val="center"/>
          </w:tcPr>
          <w:p>
            <w:pPr>
              <w:autoSpaceDE w:val="0"/>
              <w:autoSpaceDN w:val="0"/>
              <w:spacing w:before="20" w:after="20" w:line="240" w:lineRule="atLeast"/>
              <w:jc w:val="center"/>
              <w:textAlignment w:val="bottom"/>
              <w:rPr>
                <w:rFonts w:ascii="宋体" w:hAnsi="宋体"/>
                <w:szCs w:val="21"/>
              </w:rPr>
            </w:pPr>
            <w:r>
              <w:rPr>
                <w:rFonts w:hint="eastAsia" w:ascii="宋体" w:hAnsi="宋体"/>
                <w:szCs w:val="21"/>
              </w:rPr>
              <w:t>10</w:t>
            </w:r>
          </w:p>
        </w:tc>
        <w:tc>
          <w:tcPr>
            <w:tcW w:w="5516" w:type="dxa"/>
            <w:vAlign w:val="center"/>
          </w:tcPr>
          <w:p>
            <w:pPr>
              <w:autoSpaceDE w:val="0"/>
              <w:autoSpaceDN w:val="0"/>
              <w:spacing w:before="20" w:after="20" w:line="240" w:lineRule="atLeast"/>
              <w:ind w:left="113"/>
              <w:textAlignment w:val="bottom"/>
              <w:rPr>
                <w:szCs w:val="21"/>
              </w:rPr>
            </w:pPr>
            <w:r>
              <w:rPr>
                <w:szCs w:val="21"/>
              </w:rPr>
              <w:t>固定式洗舱机是否按照所须的洗舱模式设定？如有移动式洗舱机，是否装配并设定？</w:t>
            </w:r>
          </w:p>
        </w:tc>
        <w:tc>
          <w:tcPr>
            <w:tcW w:w="862" w:type="dxa"/>
            <w:gridSpan w:val="2"/>
            <w:vAlign w:val="top"/>
          </w:tcPr>
          <w:p>
            <w:pPr>
              <w:autoSpaceDE w:val="0"/>
              <w:autoSpaceDN w:val="0"/>
              <w:spacing w:before="20" w:after="20" w:line="240" w:lineRule="atLeast"/>
              <w:jc w:val="center"/>
              <w:textAlignment w:val="bottom"/>
              <w:rPr>
                <w:rFonts w:ascii="宋体" w:hAnsi="宋体"/>
                <w:szCs w:val="21"/>
              </w:rPr>
            </w:pPr>
          </w:p>
        </w:tc>
        <w:tc>
          <w:tcPr>
            <w:tcW w:w="1277" w:type="dxa"/>
            <w:vAlign w:val="top"/>
          </w:tcPr>
          <w:p>
            <w:pPr>
              <w:autoSpaceDE w:val="0"/>
              <w:autoSpaceDN w:val="0"/>
              <w:spacing w:before="20" w:after="20" w:line="240" w:lineRule="atLeast"/>
              <w:jc w:val="center"/>
              <w:textAlignment w:val="bottom"/>
              <w:rPr>
                <w:rFonts w:ascii="宋体" w:hAnsi="宋体"/>
                <w:szCs w:val="21"/>
              </w:rPr>
            </w:pPr>
          </w:p>
        </w:tc>
        <w:tc>
          <w:tcPr>
            <w:tcW w:w="1276" w:type="dxa"/>
            <w:vAlign w:val="top"/>
          </w:tcPr>
          <w:p>
            <w:pPr>
              <w:autoSpaceDE w:val="0"/>
              <w:autoSpaceDN w:val="0"/>
              <w:spacing w:before="20" w:after="20" w:line="240" w:lineRule="atLeast"/>
              <w:jc w:val="center"/>
              <w:textAlignment w:val="bottom"/>
              <w:rPr>
                <w:rFonts w:ascii="宋体" w:hAnsi="宋体"/>
                <w:szCs w:val="21"/>
              </w:rPr>
            </w:pPr>
          </w:p>
        </w:tc>
      </w:tr>
      <w:tr>
        <w:trPr>
          <w:cantSplit/>
          <w:trHeight w:val="680" w:hRule="exact"/>
          <w:jc w:val="center"/>
        </w:trPr>
        <w:tc>
          <w:tcPr>
            <w:tcW w:w="742" w:type="dxa"/>
            <w:vAlign w:val="center"/>
          </w:tcPr>
          <w:p>
            <w:pPr>
              <w:autoSpaceDE w:val="0"/>
              <w:autoSpaceDN w:val="0"/>
              <w:spacing w:before="20" w:after="20" w:line="240" w:lineRule="atLeast"/>
              <w:jc w:val="center"/>
              <w:textAlignment w:val="bottom"/>
              <w:rPr>
                <w:rFonts w:ascii="宋体" w:hAnsi="宋体"/>
                <w:szCs w:val="21"/>
              </w:rPr>
            </w:pPr>
            <w:r>
              <w:rPr>
                <w:rFonts w:hint="eastAsia" w:ascii="宋体" w:hAnsi="宋体"/>
                <w:szCs w:val="21"/>
              </w:rPr>
              <w:t>11</w:t>
            </w:r>
          </w:p>
        </w:tc>
        <w:tc>
          <w:tcPr>
            <w:tcW w:w="5516" w:type="dxa"/>
            <w:vAlign w:val="center"/>
          </w:tcPr>
          <w:p>
            <w:pPr>
              <w:autoSpaceDE w:val="0"/>
              <w:autoSpaceDN w:val="0"/>
              <w:spacing w:before="20" w:after="20" w:line="240" w:lineRule="atLeast"/>
              <w:ind w:left="113"/>
              <w:textAlignment w:val="bottom"/>
              <w:rPr>
                <w:szCs w:val="21"/>
              </w:rPr>
            </w:pPr>
            <w:r>
              <w:rPr>
                <w:szCs w:val="21"/>
              </w:rPr>
              <w:t>所有在甲板和泵舱的管系及阀门是否已经过检查？</w:t>
            </w:r>
          </w:p>
        </w:tc>
        <w:tc>
          <w:tcPr>
            <w:tcW w:w="862" w:type="dxa"/>
            <w:gridSpan w:val="2"/>
            <w:vAlign w:val="top"/>
          </w:tcPr>
          <w:p>
            <w:pPr>
              <w:autoSpaceDE w:val="0"/>
              <w:autoSpaceDN w:val="0"/>
              <w:spacing w:before="20" w:after="20" w:line="240" w:lineRule="atLeast"/>
              <w:jc w:val="center"/>
              <w:textAlignment w:val="bottom"/>
              <w:rPr>
                <w:rFonts w:ascii="宋体" w:hAnsi="宋体"/>
                <w:szCs w:val="21"/>
              </w:rPr>
            </w:pPr>
          </w:p>
        </w:tc>
        <w:tc>
          <w:tcPr>
            <w:tcW w:w="1277" w:type="dxa"/>
            <w:vAlign w:val="top"/>
          </w:tcPr>
          <w:p>
            <w:pPr>
              <w:autoSpaceDE w:val="0"/>
              <w:autoSpaceDN w:val="0"/>
              <w:spacing w:before="20" w:after="20" w:line="240" w:lineRule="atLeast"/>
              <w:jc w:val="center"/>
              <w:textAlignment w:val="bottom"/>
              <w:rPr>
                <w:rFonts w:ascii="宋体" w:hAnsi="宋体"/>
                <w:szCs w:val="21"/>
              </w:rPr>
            </w:pPr>
          </w:p>
        </w:tc>
        <w:tc>
          <w:tcPr>
            <w:tcW w:w="1276" w:type="dxa"/>
            <w:vAlign w:val="top"/>
          </w:tcPr>
          <w:p>
            <w:pPr>
              <w:autoSpaceDE w:val="0"/>
              <w:autoSpaceDN w:val="0"/>
              <w:spacing w:before="20" w:after="20" w:line="240" w:lineRule="atLeast"/>
              <w:jc w:val="center"/>
              <w:textAlignment w:val="bottom"/>
              <w:rPr>
                <w:rFonts w:ascii="宋体" w:hAnsi="宋体"/>
                <w:szCs w:val="21"/>
              </w:rPr>
            </w:pPr>
          </w:p>
        </w:tc>
      </w:tr>
    </w:tbl>
    <w:p>
      <w:pPr>
        <w:widowControl/>
        <w:jc w:val="left"/>
        <w:rPr>
          <w:rFonts w:ascii="黑体" w:hAnsi="黑体" w:eastAsia="黑体"/>
          <w:kern w:val="0"/>
          <w:szCs w:val="20"/>
        </w:rPr>
      </w:pPr>
      <w:r>
        <w:rPr>
          <w:rFonts w:ascii="黑体" w:hAnsi="黑体" w:eastAsia="黑体"/>
        </w:rPr>
        <w:br w:type="page"/>
      </w:r>
    </w:p>
    <w:p>
      <w:pPr>
        <w:pStyle w:val="113"/>
        <w:spacing w:before="120" w:after="120"/>
        <w:rPr>
          <w:rFonts w:hAnsi="黑体"/>
        </w:rPr>
      </w:pPr>
      <w:r>
        <w:rPr>
          <w:rFonts w:hint="eastAsia" w:hAnsi="黑体"/>
        </w:rPr>
        <w:t>原油洗舱作业安全确认表（原油洗舱作业期间）</w:t>
      </w:r>
    </w:p>
    <w:p>
      <w:pPr>
        <w:pStyle w:val="113"/>
        <w:numPr>
          <w:ilvl w:val="1"/>
          <w:numId w:val="0"/>
        </w:numPr>
        <w:spacing w:before="120" w:after="120"/>
        <w:ind w:left="987"/>
        <w:jc w:val="right"/>
        <w:rPr>
          <w:rFonts w:hAnsi="黑体"/>
        </w:rPr>
      </w:pPr>
      <w:r>
        <w:rPr>
          <w:rFonts w:hint="eastAsia" w:hAnsi="黑体"/>
        </w:rPr>
        <w:t xml:space="preserve">          年  月  日</w:t>
      </w:r>
    </w:p>
    <w:tbl>
      <w:tblPr>
        <w:tblW w:w="9456"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28" w:type="dxa"/>
          <w:left w:w="28" w:type="dxa"/>
          <w:bottom w:w="28" w:type="dxa"/>
          <w:right w:w="28" w:type="dxa"/>
        </w:tblCellMar>
      </w:tblPr>
      <w:tblGrid>
        <w:gridCol w:w="764"/>
        <w:gridCol w:w="5529"/>
        <w:gridCol w:w="850"/>
        <w:gridCol w:w="1276"/>
        <w:gridCol w:w="1037"/>
      </w:tblGrid>
      <w:tr>
        <w:trPr>
          <w:cantSplit/>
          <w:trHeight w:val="680" w:hRule="exact"/>
          <w:jc w:val="center"/>
        </w:trPr>
        <w:tc>
          <w:tcPr>
            <w:tcW w:w="764" w:type="dxa"/>
            <w:vAlign w:val="center"/>
          </w:tcPr>
          <w:p>
            <w:pPr>
              <w:autoSpaceDE w:val="0"/>
              <w:autoSpaceDN w:val="0"/>
              <w:spacing w:before="20" w:after="20" w:line="240" w:lineRule="atLeast"/>
              <w:jc w:val="center"/>
              <w:textAlignment w:val="bottom"/>
              <w:rPr>
                <w:szCs w:val="21"/>
              </w:rPr>
            </w:pPr>
            <w:r>
              <w:rPr>
                <w:szCs w:val="21"/>
              </w:rPr>
              <w:t>序号</w:t>
            </w:r>
          </w:p>
        </w:tc>
        <w:tc>
          <w:tcPr>
            <w:tcW w:w="5529" w:type="dxa"/>
            <w:vAlign w:val="center"/>
          </w:tcPr>
          <w:p>
            <w:pPr>
              <w:autoSpaceDE w:val="0"/>
              <w:autoSpaceDN w:val="0"/>
              <w:spacing w:before="20" w:after="20" w:line="240" w:lineRule="atLeast"/>
              <w:jc w:val="center"/>
              <w:textAlignment w:val="bottom"/>
              <w:rPr>
                <w:szCs w:val="21"/>
              </w:rPr>
            </w:pPr>
            <w:r>
              <w:rPr>
                <w:szCs w:val="21"/>
              </w:rPr>
              <w:t>检</w:t>
            </w:r>
            <w:r>
              <w:rPr>
                <w:szCs w:val="21"/>
              </w:rPr>
              <w:tab/>
            </w:r>
            <w:r>
              <w:rPr>
                <w:szCs w:val="21"/>
              </w:rPr>
              <w:t>查</w:t>
            </w:r>
            <w:r>
              <w:rPr>
                <w:szCs w:val="21"/>
              </w:rPr>
              <w:tab/>
            </w:r>
            <w:r>
              <w:rPr>
                <w:szCs w:val="21"/>
              </w:rPr>
              <w:t>项</w:t>
            </w:r>
            <w:r>
              <w:rPr>
                <w:szCs w:val="21"/>
              </w:rPr>
              <w:tab/>
            </w:r>
            <w:r>
              <w:rPr>
                <w:szCs w:val="21"/>
              </w:rPr>
              <w:t>目</w:t>
            </w:r>
          </w:p>
        </w:tc>
        <w:tc>
          <w:tcPr>
            <w:tcW w:w="850" w:type="dxa"/>
            <w:vAlign w:val="center"/>
          </w:tcPr>
          <w:p>
            <w:pPr>
              <w:autoSpaceDE w:val="0"/>
              <w:autoSpaceDN w:val="0"/>
              <w:spacing w:before="20" w:after="20" w:line="240" w:lineRule="atLeast"/>
              <w:jc w:val="center"/>
              <w:textAlignment w:val="bottom"/>
              <w:rPr>
                <w:szCs w:val="21"/>
              </w:rPr>
            </w:pPr>
            <w:r>
              <w:rPr>
                <w:szCs w:val="21"/>
              </w:rPr>
              <w:t>船  方</w:t>
            </w:r>
          </w:p>
        </w:tc>
        <w:tc>
          <w:tcPr>
            <w:tcW w:w="1276" w:type="dxa"/>
            <w:vAlign w:val="center"/>
          </w:tcPr>
          <w:p>
            <w:pPr>
              <w:autoSpaceDE w:val="0"/>
              <w:autoSpaceDN w:val="0"/>
              <w:spacing w:before="20" w:after="20" w:line="240" w:lineRule="atLeast"/>
              <w:jc w:val="center"/>
              <w:textAlignment w:val="bottom"/>
              <w:rPr>
                <w:szCs w:val="21"/>
              </w:rPr>
            </w:pPr>
            <w:r>
              <w:rPr>
                <w:szCs w:val="21"/>
              </w:rPr>
              <w:t>岸  方</w:t>
            </w:r>
          </w:p>
        </w:tc>
        <w:tc>
          <w:tcPr>
            <w:tcW w:w="1037" w:type="dxa"/>
            <w:vAlign w:val="center"/>
          </w:tcPr>
          <w:p>
            <w:pPr>
              <w:autoSpaceDE w:val="0"/>
              <w:autoSpaceDN w:val="0"/>
              <w:spacing w:before="20" w:after="20" w:line="240" w:lineRule="atLeast"/>
              <w:jc w:val="center"/>
              <w:textAlignment w:val="bottom"/>
              <w:rPr>
                <w:szCs w:val="21"/>
              </w:rPr>
            </w:pPr>
            <w:r>
              <w:rPr>
                <w:szCs w:val="21"/>
              </w:rPr>
              <w:t>备注</w:t>
            </w:r>
          </w:p>
        </w:tc>
      </w:tr>
      <w:tr>
        <w:trPr>
          <w:cantSplit/>
          <w:trHeight w:val="680" w:hRule="exact"/>
          <w:jc w:val="center"/>
        </w:trPr>
        <w:tc>
          <w:tcPr>
            <w:tcW w:w="764" w:type="dxa"/>
            <w:vAlign w:val="center"/>
          </w:tcPr>
          <w:p>
            <w:pPr>
              <w:autoSpaceDE w:val="0"/>
              <w:autoSpaceDN w:val="0"/>
              <w:spacing w:before="20" w:after="20" w:line="240" w:lineRule="atLeast"/>
              <w:jc w:val="center"/>
              <w:textAlignment w:val="bottom"/>
              <w:rPr>
                <w:rFonts w:ascii="宋体" w:hAnsi="宋体"/>
                <w:szCs w:val="21"/>
              </w:rPr>
            </w:pPr>
            <w:r>
              <w:rPr>
                <w:rFonts w:ascii="宋体" w:hAnsi="宋体"/>
                <w:szCs w:val="21"/>
              </w:rPr>
              <w:t>1</w:t>
            </w:r>
          </w:p>
        </w:tc>
        <w:tc>
          <w:tcPr>
            <w:tcW w:w="5529" w:type="dxa"/>
            <w:vAlign w:val="center"/>
          </w:tcPr>
          <w:p>
            <w:pPr>
              <w:autoSpaceDE w:val="0"/>
              <w:autoSpaceDN w:val="0"/>
              <w:spacing w:before="20" w:after="20" w:line="240" w:lineRule="atLeast"/>
              <w:ind w:left="113"/>
              <w:textAlignment w:val="bottom"/>
              <w:rPr>
                <w:szCs w:val="21"/>
              </w:rPr>
            </w:pPr>
            <w:r>
              <w:rPr>
                <w:szCs w:val="21"/>
              </w:rPr>
              <w:t>供应的惰气质量是否经常检查并记录？</w:t>
            </w:r>
          </w:p>
        </w:tc>
        <w:tc>
          <w:tcPr>
            <w:tcW w:w="850" w:type="dxa"/>
            <w:vAlign w:val="center"/>
          </w:tcPr>
          <w:p>
            <w:pPr>
              <w:autoSpaceDE w:val="0"/>
              <w:autoSpaceDN w:val="0"/>
              <w:spacing w:before="20" w:after="20" w:line="240" w:lineRule="atLeast"/>
              <w:jc w:val="center"/>
              <w:textAlignment w:val="bottom"/>
              <w:rPr>
                <w:rFonts w:ascii="宋体" w:hAnsi="宋体"/>
                <w:szCs w:val="21"/>
              </w:rPr>
            </w:pPr>
          </w:p>
        </w:tc>
        <w:tc>
          <w:tcPr>
            <w:tcW w:w="1276" w:type="dxa"/>
            <w:vAlign w:val="center"/>
          </w:tcPr>
          <w:p>
            <w:pPr>
              <w:autoSpaceDE w:val="0"/>
              <w:autoSpaceDN w:val="0"/>
              <w:spacing w:before="20" w:after="20" w:line="240" w:lineRule="atLeast"/>
              <w:jc w:val="center"/>
              <w:textAlignment w:val="bottom"/>
              <w:rPr>
                <w:rFonts w:ascii="宋体" w:hAnsi="宋体"/>
                <w:szCs w:val="21"/>
              </w:rPr>
            </w:pPr>
          </w:p>
        </w:tc>
        <w:tc>
          <w:tcPr>
            <w:tcW w:w="1037" w:type="dxa"/>
            <w:vAlign w:val="center"/>
          </w:tcPr>
          <w:p>
            <w:pPr>
              <w:autoSpaceDE w:val="0"/>
              <w:autoSpaceDN w:val="0"/>
              <w:spacing w:before="20" w:after="20" w:line="240" w:lineRule="atLeast"/>
              <w:jc w:val="center"/>
              <w:textAlignment w:val="bottom"/>
              <w:rPr>
                <w:rFonts w:ascii="宋体" w:hAnsi="宋体"/>
                <w:szCs w:val="21"/>
              </w:rPr>
            </w:pPr>
          </w:p>
        </w:tc>
      </w:tr>
      <w:tr>
        <w:trPr>
          <w:cantSplit/>
          <w:trHeight w:val="680" w:hRule="exact"/>
          <w:jc w:val="center"/>
        </w:trPr>
        <w:tc>
          <w:tcPr>
            <w:tcW w:w="764" w:type="dxa"/>
            <w:vAlign w:val="center"/>
          </w:tcPr>
          <w:p>
            <w:pPr>
              <w:autoSpaceDE w:val="0"/>
              <w:autoSpaceDN w:val="0"/>
              <w:spacing w:before="20" w:after="20" w:line="240" w:lineRule="atLeast"/>
              <w:jc w:val="center"/>
              <w:textAlignment w:val="bottom"/>
              <w:rPr>
                <w:rFonts w:ascii="宋体" w:hAnsi="宋体"/>
                <w:szCs w:val="21"/>
              </w:rPr>
            </w:pPr>
            <w:r>
              <w:rPr>
                <w:rFonts w:ascii="宋体" w:hAnsi="宋体"/>
                <w:szCs w:val="21"/>
              </w:rPr>
              <w:t>2</w:t>
            </w:r>
          </w:p>
        </w:tc>
        <w:tc>
          <w:tcPr>
            <w:tcW w:w="5529" w:type="dxa"/>
            <w:vAlign w:val="center"/>
          </w:tcPr>
          <w:p>
            <w:pPr>
              <w:autoSpaceDE w:val="0"/>
              <w:autoSpaceDN w:val="0"/>
              <w:spacing w:before="20" w:after="20" w:line="240" w:lineRule="atLeast"/>
              <w:ind w:left="113"/>
              <w:textAlignment w:val="bottom"/>
              <w:rPr>
                <w:szCs w:val="21"/>
              </w:rPr>
            </w:pPr>
            <w:r>
              <w:rPr>
                <w:szCs w:val="21"/>
              </w:rPr>
              <w:t>是否经常检查甲板管系及阀门的泄漏？</w:t>
            </w:r>
          </w:p>
        </w:tc>
        <w:tc>
          <w:tcPr>
            <w:tcW w:w="850" w:type="dxa"/>
            <w:vAlign w:val="center"/>
          </w:tcPr>
          <w:p>
            <w:pPr>
              <w:autoSpaceDE w:val="0"/>
              <w:autoSpaceDN w:val="0"/>
              <w:spacing w:before="20" w:after="20" w:line="240" w:lineRule="atLeast"/>
              <w:jc w:val="center"/>
              <w:textAlignment w:val="bottom"/>
              <w:rPr>
                <w:rFonts w:ascii="宋体" w:hAnsi="宋体"/>
                <w:szCs w:val="21"/>
              </w:rPr>
            </w:pPr>
          </w:p>
        </w:tc>
        <w:tc>
          <w:tcPr>
            <w:tcW w:w="1276" w:type="dxa"/>
            <w:vAlign w:val="center"/>
          </w:tcPr>
          <w:p>
            <w:pPr>
              <w:autoSpaceDE w:val="0"/>
              <w:autoSpaceDN w:val="0"/>
              <w:spacing w:before="20" w:after="20" w:line="240" w:lineRule="atLeast"/>
              <w:jc w:val="center"/>
              <w:textAlignment w:val="bottom"/>
              <w:rPr>
                <w:rFonts w:ascii="宋体" w:hAnsi="宋体"/>
                <w:szCs w:val="21"/>
              </w:rPr>
            </w:pPr>
          </w:p>
        </w:tc>
        <w:tc>
          <w:tcPr>
            <w:tcW w:w="1037" w:type="dxa"/>
            <w:vAlign w:val="center"/>
          </w:tcPr>
          <w:p>
            <w:pPr>
              <w:autoSpaceDE w:val="0"/>
              <w:autoSpaceDN w:val="0"/>
              <w:spacing w:before="20" w:after="20" w:line="240" w:lineRule="atLeast"/>
              <w:jc w:val="center"/>
              <w:textAlignment w:val="bottom"/>
              <w:rPr>
                <w:rFonts w:ascii="宋体" w:hAnsi="宋体"/>
                <w:szCs w:val="21"/>
              </w:rPr>
            </w:pPr>
          </w:p>
        </w:tc>
      </w:tr>
      <w:tr>
        <w:trPr>
          <w:cantSplit/>
          <w:trHeight w:val="680" w:hRule="exact"/>
          <w:jc w:val="center"/>
        </w:trPr>
        <w:tc>
          <w:tcPr>
            <w:tcW w:w="764" w:type="dxa"/>
            <w:vAlign w:val="center"/>
          </w:tcPr>
          <w:p>
            <w:pPr>
              <w:autoSpaceDE w:val="0"/>
              <w:autoSpaceDN w:val="0"/>
              <w:spacing w:before="20" w:after="20" w:line="240" w:lineRule="atLeast"/>
              <w:jc w:val="center"/>
              <w:textAlignment w:val="bottom"/>
              <w:rPr>
                <w:rFonts w:ascii="宋体" w:hAnsi="宋体"/>
                <w:szCs w:val="21"/>
              </w:rPr>
            </w:pPr>
            <w:r>
              <w:rPr>
                <w:rFonts w:ascii="宋体" w:hAnsi="宋体"/>
                <w:szCs w:val="21"/>
              </w:rPr>
              <w:t>3</w:t>
            </w:r>
          </w:p>
        </w:tc>
        <w:tc>
          <w:tcPr>
            <w:tcW w:w="5529" w:type="dxa"/>
            <w:vAlign w:val="center"/>
          </w:tcPr>
          <w:p>
            <w:pPr>
              <w:autoSpaceDE w:val="0"/>
              <w:autoSpaceDN w:val="0"/>
              <w:spacing w:before="20" w:after="20" w:line="240" w:lineRule="atLeast"/>
              <w:ind w:left="113"/>
              <w:textAlignment w:val="bottom"/>
              <w:rPr>
                <w:szCs w:val="21"/>
              </w:rPr>
            </w:pPr>
            <w:r>
              <w:rPr>
                <w:szCs w:val="21"/>
              </w:rPr>
              <w:t>原油洗舱是否仅在洗舱程序指定的舱室进行？</w:t>
            </w:r>
          </w:p>
        </w:tc>
        <w:tc>
          <w:tcPr>
            <w:tcW w:w="850" w:type="dxa"/>
            <w:vAlign w:val="center"/>
          </w:tcPr>
          <w:p>
            <w:pPr>
              <w:autoSpaceDE w:val="0"/>
              <w:autoSpaceDN w:val="0"/>
              <w:spacing w:before="20" w:after="20" w:line="240" w:lineRule="atLeast"/>
              <w:jc w:val="center"/>
              <w:textAlignment w:val="bottom"/>
              <w:rPr>
                <w:rFonts w:ascii="宋体" w:hAnsi="宋体"/>
                <w:szCs w:val="21"/>
              </w:rPr>
            </w:pPr>
          </w:p>
        </w:tc>
        <w:tc>
          <w:tcPr>
            <w:tcW w:w="1276" w:type="dxa"/>
            <w:vAlign w:val="center"/>
          </w:tcPr>
          <w:p>
            <w:pPr>
              <w:autoSpaceDE w:val="0"/>
              <w:autoSpaceDN w:val="0"/>
              <w:spacing w:before="20" w:after="20" w:line="240" w:lineRule="atLeast"/>
              <w:jc w:val="center"/>
              <w:textAlignment w:val="bottom"/>
              <w:rPr>
                <w:rFonts w:ascii="宋体" w:hAnsi="宋体"/>
                <w:szCs w:val="21"/>
              </w:rPr>
            </w:pPr>
          </w:p>
        </w:tc>
        <w:tc>
          <w:tcPr>
            <w:tcW w:w="1037" w:type="dxa"/>
            <w:vAlign w:val="center"/>
          </w:tcPr>
          <w:p>
            <w:pPr>
              <w:autoSpaceDE w:val="0"/>
              <w:autoSpaceDN w:val="0"/>
              <w:spacing w:before="20" w:after="20" w:line="240" w:lineRule="atLeast"/>
              <w:jc w:val="center"/>
              <w:textAlignment w:val="bottom"/>
              <w:rPr>
                <w:rFonts w:ascii="宋体" w:hAnsi="宋体"/>
                <w:szCs w:val="21"/>
              </w:rPr>
            </w:pPr>
          </w:p>
        </w:tc>
      </w:tr>
      <w:tr>
        <w:trPr>
          <w:cantSplit/>
          <w:trHeight w:val="680" w:hRule="exact"/>
          <w:jc w:val="center"/>
        </w:trPr>
        <w:tc>
          <w:tcPr>
            <w:tcW w:w="764" w:type="dxa"/>
            <w:vAlign w:val="center"/>
          </w:tcPr>
          <w:p>
            <w:pPr>
              <w:autoSpaceDE w:val="0"/>
              <w:autoSpaceDN w:val="0"/>
              <w:spacing w:before="20" w:after="20" w:line="240" w:lineRule="atLeast"/>
              <w:jc w:val="center"/>
              <w:textAlignment w:val="bottom"/>
              <w:rPr>
                <w:rFonts w:ascii="宋体" w:hAnsi="宋体"/>
                <w:szCs w:val="21"/>
              </w:rPr>
            </w:pPr>
            <w:r>
              <w:rPr>
                <w:rFonts w:ascii="宋体" w:hAnsi="宋体"/>
                <w:szCs w:val="21"/>
              </w:rPr>
              <w:t>4</w:t>
            </w:r>
          </w:p>
        </w:tc>
        <w:tc>
          <w:tcPr>
            <w:tcW w:w="5529" w:type="dxa"/>
            <w:vAlign w:val="center"/>
          </w:tcPr>
          <w:p>
            <w:pPr>
              <w:autoSpaceDE w:val="0"/>
              <w:autoSpaceDN w:val="0"/>
              <w:spacing w:before="20" w:after="20" w:line="240" w:lineRule="atLeast"/>
              <w:ind w:left="113"/>
              <w:textAlignment w:val="bottom"/>
              <w:rPr>
                <w:szCs w:val="21"/>
              </w:rPr>
            </w:pPr>
            <w:r>
              <w:rPr>
                <w:szCs w:val="21"/>
              </w:rPr>
              <w:t>洗舱管系的压力是否符合《原油洗舱操作手册》的要求？</w:t>
            </w:r>
          </w:p>
        </w:tc>
        <w:tc>
          <w:tcPr>
            <w:tcW w:w="850" w:type="dxa"/>
            <w:vAlign w:val="center"/>
          </w:tcPr>
          <w:p>
            <w:pPr>
              <w:autoSpaceDE w:val="0"/>
              <w:autoSpaceDN w:val="0"/>
              <w:spacing w:before="20" w:after="20" w:line="240" w:lineRule="atLeast"/>
              <w:jc w:val="center"/>
              <w:textAlignment w:val="bottom"/>
              <w:rPr>
                <w:rFonts w:ascii="宋体" w:hAnsi="宋体"/>
                <w:szCs w:val="21"/>
              </w:rPr>
            </w:pPr>
          </w:p>
        </w:tc>
        <w:tc>
          <w:tcPr>
            <w:tcW w:w="1276" w:type="dxa"/>
            <w:vAlign w:val="center"/>
          </w:tcPr>
          <w:p>
            <w:pPr>
              <w:autoSpaceDE w:val="0"/>
              <w:autoSpaceDN w:val="0"/>
              <w:spacing w:before="20" w:after="20" w:line="240" w:lineRule="atLeast"/>
              <w:jc w:val="center"/>
              <w:textAlignment w:val="bottom"/>
              <w:rPr>
                <w:rFonts w:ascii="宋体" w:hAnsi="宋体"/>
                <w:szCs w:val="21"/>
              </w:rPr>
            </w:pPr>
          </w:p>
        </w:tc>
        <w:tc>
          <w:tcPr>
            <w:tcW w:w="1037" w:type="dxa"/>
            <w:vAlign w:val="center"/>
          </w:tcPr>
          <w:p>
            <w:pPr>
              <w:autoSpaceDE w:val="0"/>
              <w:autoSpaceDN w:val="0"/>
              <w:spacing w:before="20" w:after="20" w:line="240" w:lineRule="atLeast"/>
              <w:jc w:val="center"/>
              <w:textAlignment w:val="bottom"/>
              <w:rPr>
                <w:rFonts w:ascii="宋体" w:hAnsi="宋体"/>
                <w:szCs w:val="21"/>
              </w:rPr>
            </w:pPr>
          </w:p>
        </w:tc>
      </w:tr>
      <w:tr>
        <w:trPr>
          <w:cantSplit/>
          <w:trHeight w:val="680" w:hRule="exact"/>
          <w:jc w:val="center"/>
        </w:trPr>
        <w:tc>
          <w:tcPr>
            <w:tcW w:w="764" w:type="dxa"/>
            <w:vAlign w:val="center"/>
          </w:tcPr>
          <w:p>
            <w:pPr>
              <w:autoSpaceDE w:val="0"/>
              <w:autoSpaceDN w:val="0"/>
              <w:spacing w:before="20" w:after="20" w:line="240" w:lineRule="atLeast"/>
              <w:jc w:val="center"/>
              <w:textAlignment w:val="bottom"/>
              <w:rPr>
                <w:rFonts w:ascii="宋体" w:hAnsi="宋体"/>
                <w:szCs w:val="21"/>
              </w:rPr>
            </w:pPr>
            <w:r>
              <w:rPr>
                <w:rFonts w:ascii="宋体" w:hAnsi="宋体"/>
                <w:szCs w:val="21"/>
              </w:rPr>
              <w:t>5</w:t>
            </w:r>
          </w:p>
        </w:tc>
        <w:tc>
          <w:tcPr>
            <w:tcW w:w="5529" w:type="dxa"/>
            <w:vAlign w:val="center"/>
          </w:tcPr>
          <w:p>
            <w:pPr>
              <w:autoSpaceDE w:val="0"/>
              <w:autoSpaceDN w:val="0"/>
              <w:spacing w:before="20" w:after="20" w:line="240" w:lineRule="atLeast"/>
              <w:ind w:left="113"/>
              <w:textAlignment w:val="bottom"/>
              <w:rPr>
                <w:szCs w:val="21"/>
              </w:rPr>
            </w:pPr>
            <w:r>
              <w:rPr>
                <w:szCs w:val="21"/>
              </w:rPr>
              <w:t>洗舱机的循环周期是否符合《原油洗舱操作手册》的要求？</w:t>
            </w:r>
          </w:p>
        </w:tc>
        <w:tc>
          <w:tcPr>
            <w:tcW w:w="850" w:type="dxa"/>
            <w:vAlign w:val="center"/>
          </w:tcPr>
          <w:p>
            <w:pPr>
              <w:autoSpaceDE w:val="0"/>
              <w:autoSpaceDN w:val="0"/>
              <w:spacing w:before="20" w:after="20" w:line="240" w:lineRule="atLeast"/>
              <w:jc w:val="center"/>
              <w:textAlignment w:val="bottom"/>
              <w:rPr>
                <w:rFonts w:ascii="宋体" w:hAnsi="宋体"/>
                <w:szCs w:val="21"/>
              </w:rPr>
            </w:pPr>
          </w:p>
        </w:tc>
        <w:tc>
          <w:tcPr>
            <w:tcW w:w="1276" w:type="dxa"/>
            <w:vAlign w:val="center"/>
          </w:tcPr>
          <w:p>
            <w:pPr>
              <w:autoSpaceDE w:val="0"/>
              <w:autoSpaceDN w:val="0"/>
              <w:spacing w:before="20" w:after="20" w:line="240" w:lineRule="atLeast"/>
              <w:jc w:val="center"/>
              <w:textAlignment w:val="bottom"/>
              <w:rPr>
                <w:rFonts w:ascii="宋体" w:hAnsi="宋体"/>
                <w:szCs w:val="21"/>
              </w:rPr>
            </w:pPr>
          </w:p>
        </w:tc>
        <w:tc>
          <w:tcPr>
            <w:tcW w:w="1037" w:type="dxa"/>
            <w:vAlign w:val="center"/>
          </w:tcPr>
          <w:p>
            <w:pPr>
              <w:autoSpaceDE w:val="0"/>
              <w:autoSpaceDN w:val="0"/>
              <w:spacing w:before="20" w:after="20" w:line="240" w:lineRule="atLeast"/>
              <w:jc w:val="center"/>
              <w:textAlignment w:val="bottom"/>
              <w:rPr>
                <w:rFonts w:ascii="宋体" w:hAnsi="宋体"/>
                <w:szCs w:val="21"/>
              </w:rPr>
            </w:pPr>
          </w:p>
        </w:tc>
      </w:tr>
      <w:tr>
        <w:trPr>
          <w:cantSplit/>
          <w:trHeight w:val="680" w:hRule="exact"/>
          <w:jc w:val="center"/>
        </w:trPr>
        <w:tc>
          <w:tcPr>
            <w:tcW w:w="764" w:type="dxa"/>
            <w:vAlign w:val="center"/>
          </w:tcPr>
          <w:p>
            <w:pPr>
              <w:autoSpaceDE w:val="0"/>
              <w:autoSpaceDN w:val="0"/>
              <w:spacing w:before="20" w:after="20" w:line="240" w:lineRule="atLeast"/>
              <w:jc w:val="center"/>
              <w:textAlignment w:val="bottom"/>
              <w:rPr>
                <w:rFonts w:ascii="宋体" w:hAnsi="宋体"/>
                <w:szCs w:val="21"/>
              </w:rPr>
            </w:pPr>
            <w:r>
              <w:rPr>
                <w:rFonts w:ascii="宋体" w:hAnsi="宋体"/>
                <w:szCs w:val="21"/>
              </w:rPr>
              <w:t>6</w:t>
            </w:r>
          </w:p>
        </w:tc>
        <w:tc>
          <w:tcPr>
            <w:tcW w:w="5529" w:type="dxa"/>
            <w:vAlign w:val="center"/>
          </w:tcPr>
          <w:p>
            <w:pPr>
              <w:autoSpaceDE w:val="0"/>
              <w:autoSpaceDN w:val="0"/>
              <w:spacing w:before="20" w:after="20" w:line="240" w:lineRule="atLeast"/>
              <w:ind w:left="113"/>
              <w:textAlignment w:val="bottom"/>
              <w:rPr>
                <w:szCs w:val="21"/>
              </w:rPr>
            </w:pPr>
            <w:r>
              <w:rPr>
                <w:szCs w:val="21"/>
              </w:rPr>
              <w:t>洗舱机及驱动装置是否运转？是否经常检查？是否工作正常？</w:t>
            </w:r>
          </w:p>
        </w:tc>
        <w:tc>
          <w:tcPr>
            <w:tcW w:w="850" w:type="dxa"/>
            <w:vAlign w:val="center"/>
          </w:tcPr>
          <w:p>
            <w:pPr>
              <w:autoSpaceDE w:val="0"/>
              <w:autoSpaceDN w:val="0"/>
              <w:spacing w:before="20" w:after="20" w:line="240" w:lineRule="atLeast"/>
              <w:jc w:val="center"/>
              <w:textAlignment w:val="bottom"/>
              <w:rPr>
                <w:rFonts w:ascii="宋体" w:hAnsi="宋体"/>
                <w:szCs w:val="21"/>
              </w:rPr>
            </w:pPr>
          </w:p>
        </w:tc>
        <w:tc>
          <w:tcPr>
            <w:tcW w:w="1276" w:type="dxa"/>
            <w:vAlign w:val="center"/>
          </w:tcPr>
          <w:p>
            <w:pPr>
              <w:autoSpaceDE w:val="0"/>
              <w:autoSpaceDN w:val="0"/>
              <w:spacing w:before="20" w:after="20" w:line="240" w:lineRule="atLeast"/>
              <w:jc w:val="center"/>
              <w:textAlignment w:val="bottom"/>
              <w:rPr>
                <w:rFonts w:ascii="宋体" w:hAnsi="宋体"/>
                <w:szCs w:val="21"/>
              </w:rPr>
            </w:pPr>
          </w:p>
        </w:tc>
        <w:tc>
          <w:tcPr>
            <w:tcW w:w="1037" w:type="dxa"/>
            <w:vAlign w:val="center"/>
          </w:tcPr>
          <w:p>
            <w:pPr>
              <w:autoSpaceDE w:val="0"/>
              <w:autoSpaceDN w:val="0"/>
              <w:spacing w:before="20" w:after="20" w:line="240" w:lineRule="atLeast"/>
              <w:jc w:val="center"/>
              <w:textAlignment w:val="bottom"/>
              <w:rPr>
                <w:rFonts w:ascii="宋体" w:hAnsi="宋体"/>
                <w:szCs w:val="21"/>
              </w:rPr>
            </w:pPr>
          </w:p>
        </w:tc>
      </w:tr>
      <w:tr>
        <w:trPr>
          <w:cantSplit/>
          <w:trHeight w:val="680" w:hRule="exact"/>
          <w:jc w:val="center"/>
        </w:trPr>
        <w:tc>
          <w:tcPr>
            <w:tcW w:w="764" w:type="dxa"/>
            <w:vAlign w:val="center"/>
          </w:tcPr>
          <w:p>
            <w:pPr>
              <w:autoSpaceDE w:val="0"/>
              <w:autoSpaceDN w:val="0"/>
              <w:spacing w:before="20" w:after="20" w:line="240" w:lineRule="atLeast"/>
              <w:jc w:val="center"/>
              <w:textAlignment w:val="bottom"/>
              <w:rPr>
                <w:rFonts w:ascii="宋体" w:hAnsi="宋体"/>
                <w:szCs w:val="21"/>
              </w:rPr>
            </w:pPr>
            <w:r>
              <w:rPr>
                <w:rFonts w:ascii="宋体" w:hAnsi="宋体"/>
                <w:szCs w:val="21"/>
              </w:rPr>
              <w:t>7</w:t>
            </w:r>
          </w:p>
        </w:tc>
        <w:tc>
          <w:tcPr>
            <w:tcW w:w="5529" w:type="dxa"/>
            <w:vAlign w:val="center"/>
          </w:tcPr>
          <w:p>
            <w:pPr>
              <w:autoSpaceDE w:val="0"/>
              <w:autoSpaceDN w:val="0"/>
              <w:spacing w:before="20" w:after="20" w:line="240" w:lineRule="atLeast"/>
              <w:ind w:left="113"/>
              <w:textAlignment w:val="bottom"/>
              <w:rPr>
                <w:szCs w:val="21"/>
              </w:rPr>
            </w:pPr>
            <w:r>
              <w:rPr>
                <w:szCs w:val="21"/>
              </w:rPr>
              <w:t>是否有专人始终在甲板值勤？</w:t>
            </w:r>
          </w:p>
        </w:tc>
        <w:tc>
          <w:tcPr>
            <w:tcW w:w="850" w:type="dxa"/>
            <w:vAlign w:val="center"/>
          </w:tcPr>
          <w:p>
            <w:pPr>
              <w:autoSpaceDE w:val="0"/>
              <w:autoSpaceDN w:val="0"/>
              <w:spacing w:before="20" w:after="20" w:line="240" w:lineRule="atLeast"/>
              <w:jc w:val="center"/>
              <w:textAlignment w:val="bottom"/>
              <w:rPr>
                <w:rFonts w:ascii="宋体" w:hAnsi="宋体"/>
                <w:szCs w:val="21"/>
              </w:rPr>
            </w:pPr>
          </w:p>
        </w:tc>
        <w:tc>
          <w:tcPr>
            <w:tcW w:w="1276" w:type="dxa"/>
            <w:vAlign w:val="center"/>
          </w:tcPr>
          <w:p>
            <w:pPr>
              <w:autoSpaceDE w:val="0"/>
              <w:autoSpaceDN w:val="0"/>
              <w:spacing w:before="20" w:after="20" w:line="240" w:lineRule="atLeast"/>
              <w:jc w:val="center"/>
              <w:textAlignment w:val="bottom"/>
              <w:rPr>
                <w:rFonts w:ascii="宋体" w:hAnsi="宋体"/>
                <w:szCs w:val="21"/>
              </w:rPr>
            </w:pPr>
          </w:p>
        </w:tc>
        <w:tc>
          <w:tcPr>
            <w:tcW w:w="1037" w:type="dxa"/>
            <w:vAlign w:val="center"/>
          </w:tcPr>
          <w:p>
            <w:pPr>
              <w:autoSpaceDE w:val="0"/>
              <w:autoSpaceDN w:val="0"/>
              <w:spacing w:before="20" w:after="20" w:line="240" w:lineRule="atLeast"/>
              <w:jc w:val="center"/>
              <w:textAlignment w:val="bottom"/>
              <w:rPr>
                <w:rFonts w:ascii="宋体" w:hAnsi="宋体"/>
                <w:szCs w:val="21"/>
              </w:rPr>
            </w:pPr>
          </w:p>
        </w:tc>
      </w:tr>
      <w:tr>
        <w:trPr>
          <w:cantSplit/>
          <w:trHeight w:val="680" w:hRule="exact"/>
          <w:jc w:val="center"/>
        </w:trPr>
        <w:tc>
          <w:tcPr>
            <w:tcW w:w="764" w:type="dxa"/>
            <w:vAlign w:val="center"/>
          </w:tcPr>
          <w:p>
            <w:pPr>
              <w:autoSpaceDE w:val="0"/>
              <w:autoSpaceDN w:val="0"/>
              <w:spacing w:before="20" w:after="20" w:line="240" w:lineRule="atLeast"/>
              <w:jc w:val="center"/>
              <w:textAlignment w:val="bottom"/>
              <w:rPr>
                <w:rFonts w:ascii="宋体" w:hAnsi="宋体"/>
                <w:szCs w:val="21"/>
              </w:rPr>
            </w:pPr>
            <w:r>
              <w:rPr>
                <w:rFonts w:ascii="宋体" w:hAnsi="宋体"/>
                <w:szCs w:val="21"/>
              </w:rPr>
              <w:t>8</w:t>
            </w:r>
          </w:p>
        </w:tc>
        <w:tc>
          <w:tcPr>
            <w:tcW w:w="5529" w:type="dxa"/>
            <w:vAlign w:val="center"/>
          </w:tcPr>
          <w:p>
            <w:pPr>
              <w:autoSpaceDE w:val="0"/>
              <w:autoSpaceDN w:val="0"/>
              <w:spacing w:before="20" w:after="20" w:line="240" w:lineRule="atLeast"/>
              <w:ind w:left="113"/>
              <w:textAlignment w:val="bottom"/>
              <w:rPr>
                <w:szCs w:val="21"/>
              </w:rPr>
            </w:pPr>
            <w:r>
              <w:rPr>
                <w:szCs w:val="21"/>
              </w:rPr>
              <w:t>进行底部洗舱时，吃水差是否符合《原油洗舱操作手册》的要求？</w:t>
            </w:r>
          </w:p>
        </w:tc>
        <w:tc>
          <w:tcPr>
            <w:tcW w:w="850" w:type="dxa"/>
            <w:vAlign w:val="center"/>
          </w:tcPr>
          <w:p>
            <w:pPr>
              <w:autoSpaceDE w:val="0"/>
              <w:autoSpaceDN w:val="0"/>
              <w:spacing w:before="20" w:after="20" w:line="240" w:lineRule="atLeast"/>
              <w:jc w:val="center"/>
              <w:textAlignment w:val="bottom"/>
              <w:rPr>
                <w:rFonts w:ascii="宋体" w:hAnsi="宋体"/>
                <w:szCs w:val="21"/>
              </w:rPr>
            </w:pPr>
          </w:p>
        </w:tc>
        <w:tc>
          <w:tcPr>
            <w:tcW w:w="1276" w:type="dxa"/>
            <w:vAlign w:val="center"/>
          </w:tcPr>
          <w:p>
            <w:pPr>
              <w:autoSpaceDE w:val="0"/>
              <w:autoSpaceDN w:val="0"/>
              <w:spacing w:before="20" w:after="20" w:line="240" w:lineRule="atLeast"/>
              <w:jc w:val="center"/>
              <w:textAlignment w:val="bottom"/>
              <w:rPr>
                <w:rFonts w:ascii="宋体" w:hAnsi="宋体"/>
                <w:szCs w:val="21"/>
              </w:rPr>
            </w:pPr>
          </w:p>
        </w:tc>
        <w:tc>
          <w:tcPr>
            <w:tcW w:w="1037" w:type="dxa"/>
            <w:vAlign w:val="center"/>
          </w:tcPr>
          <w:p>
            <w:pPr>
              <w:autoSpaceDE w:val="0"/>
              <w:autoSpaceDN w:val="0"/>
              <w:spacing w:before="20" w:after="20" w:line="240" w:lineRule="atLeast"/>
              <w:jc w:val="center"/>
              <w:textAlignment w:val="bottom"/>
              <w:rPr>
                <w:rFonts w:ascii="宋体" w:hAnsi="宋体"/>
                <w:szCs w:val="21"/>
              </w:rPr>
            </w:pPr>
          </w:p>
        </w:tc>
      </w:tr>
      <w:tr>
        <w:trPr>
          <w:cantSplit/>
          <w:trHeight w:val="680" w:hRule="exact"/>
          <w:jc w:val="center"/>
        </w:trPr>
        <w:tc>
          <w:tcPr>
            <w:tcW w:w="764" w:type="dxa"/>
            <w:vAlign w:val="center"/>
          </w:tcPr>
          <w:p>
            <w:pPr>
              <w:autoSpaceDE w:val="0"/>
              <w:autoSpaceDN w:val="0"/>
              <w:spacing w:before="20" w:after="20" w:line="240" w:lineRule="atLeast"/>
              <w:jc w:val="center"/>
              <w:textAlignment w:val="bottom"/>
              <w:rPr>
                <w:rFonts w:ascii="宋体" w:hAnsi="宋体"/>
                <w:szCs w:val="21"/>
              </w:rPr>
            </w:pPr>
            <w:r>
              <w:rPr>
                <w:rFonts w:ascii="宋体" w:hAnsi="宋体"/>
                <w:szCs w:val="21"/>
              </w:rPr>
              <w:t>9</w:t>
            </w:r>
          </w:p>
        </w:tc>
        <w:tc>
          <w:tcPr>
            <w:tcW w:w="5529" w:type="dxa"/>
            <w:vAlign w:val="center"/>
          </w:tcPr>
          <w:p>
            <w:pPr>
              <w:autoSpaceDE w:val="0"/>
              <w:autoSpaceDN w:val="0"/>
              <w:spacing w:before="20" w:after="20" w:line="240" w:lineRule="atLeast"/>
              <w:ind w:left="113"/>
              <w:textAlignment w:val="bottom"/>
              <w:rPr>
                <w:szCs w:val="21"/>
              </w:rPr>
            </w:pPr>
            <w:r>
              <w:rPr>
                <w:szCs w:val="21"/>
              </w:rPr>
              <w:t>是否按照推荐的扫舱模式进行？</w:t>
            </w:r>
          </w:p>
        </w:tc>
        <w:tc>
          <w:tcPr>
            <w:tcW w:w="850" w:type="dxa"/>
            <w:vAlign w:val="center"/>
          </w:tcPr>
          <w:p>
            <w:pPr>
              <w:autoSpaceDE w:val="0"/>
              <w:autoSpaceDN w:val="0"/>
              <w:spacing w:before="20" w:after="20" w:line="240" w:lineRule="atLeast"/>
              <w:jc w:val="center"/>
              <w:textAlignment w:val="bottom"/>
              <w:rPr>
                <w:rFonts w:ascii="宋体" w:hAnsi="宋体"/>
                <w:szCs w:val="21"/>
              </w:rPr>
            </w:pPr>
          </w:p>
        </w:tc>
        <w:tc>
          <w:tcPr>
            <w:tcW w:w="1276" w:type="dxa"/>
            <w:vAlign w:val="center"/>
          </w:tcPr>
          <w:p>
            <w:pPr>
              <w:autoSpaceDE w:val="0"/>
              <w:autoSpaceDN w:val="0"/>
              <w:spacing w:before="20" w:after="20" w:line="240" w:lineRule="atLeast"/>
              <w:jc w:val="center"/>
              <w:textAlignment w:val="bottom"/>
              <w:rPr>
                <w:rFonts w:ascii="宋体" w:hAnsi="宋体"/>
                <w:szCs w:val="21"/>
              </w:rPr>
            </w:pPr>
          </w:p>
        </w:tc>
        <w:tc>
          <w:tcPr>
            <w:tcW w:w="1037" w:type="dxa"/>
            <w:vAlign w:val="center"/>
          </w:tcPr>
          <w:p>
            <w:pPr>
              <w:autoSpaceDE w:val="0"/>
              <w:autoSpaceDN w:val="0"/>
              <w:spacing w:before="20" w:after="20" w:line="240" w:lineRule="atLeast"/>
              <w:jc w:val="center"/>
              <w:textAlignment w:val="bottom"/>
              <w:rPr>
                <w:rFonts w:ascii="宋体" w:hAnsi="宋体"/>
                <w:szCs w:val="21"/>
              </w:rPr>
            </w:pPr>
          </w:p>
        </w:tc>
      </w:tr>
      <w:tr>
        <w:trPr>
          <w:cantSplit/>
          <w:trHeight w:val="680" w:hRule="exact"/>
          <w:jc w:val="center"/>
        </w:trPr>
        <w:tc>
          <w:tcPr>
            <w:tcW w:w="764" w:type="dxa"/>
            <w:vAlign w:val="center"/>
          </w:tcPr>
          <w:p>
            <w:pPr>
              <w:autoSpaceDE w:val="0"/>
              <w:autoSpaceDN w:val="0"/>
              <w:spacing w:before="20" w:after="20" w:line="240" w:lineRule="atLeast"/>
              <w:jc w:val="center"/>
              <w:textAlignment w:val="bottom"/>
              <w:rPr>
                <w:rFonts w:ascii="宋体" w:hAnsi="宋体"/>
                <w:szCs w:val="21"/>
              </w:rPr>
            </w:pPr>
            <w:r>
              <w:rPr>
                <w:rFonts w:hint="eastAsia" w:ascii="宋体" w:hAnsi="宋体"/>
                <w:szCs w:val="21"/>
              </w:rPr>
              <w:t>10</w:t>
            </w:r>
          </w:p>
        </w:tc>
        <w:tc>
          <w:tcPr>
            <w:tcW w:w="5529" w:type="dxa"/>
            <w:vAlign w:val="center"/>
          </w:tcPr>
          <w:p>
            <w:pPr>
              <w:autoSpaceDE w:val="0"/>
              <w:autoSpaceDN w:val="0"/>
              <w:spacing w:before="20" w:after="20" w:line="240" w:lineRule="atLeast"/>
              <w:ind w:left="113"/>
              <w:textAlignment w:val="bottom"/>
              <w:rPr>
                <w:szCs w:val="21"/>
              </w:rPr>
            </w:pPr>
            <w:r>
              <w:rPr>
                <w:szCs w:val="21"/>
              </w:rPr>
              <w:t>在将要进行原油洗舱的舱室的空距测量浮子是否已升起并系牢？</w:t>
            </w:r>
          </w:p>
        </w:tc>
        <w:tc>
          <w:tcPr>
            <w:tcW w:w="850" w:type="dxa"/>
            <w:vAlign w:val="center"/>
          </w:tcPr>
          <w:p>
            <w:pPr>
              <w:autoSpaceDE w:val="0"/>
              <w:autoSpaceDN w:val="0"/>
              <w:spacing w:before="20" w:after="20" w:line="240" w:lineRule="atLeast"/>
              <w:jc w:val="center"/>
              <w:textAlignment w:val="bottom"/>
              <w:rPr>
                <w:rFonts w:ascii="宋体" w:hAnsi="宋体"/>
                <w:szCs w:val="21"/>
              </w:rPr>
            </w:pPr>
          </w:p>
        </w:tc>
        <w:tc>
          <w:tcPr>
            <w:tcW w:w="1276" w:type="dxa"/>
            <w:vAlign w:val="center"/>
          </w:tcPr>
          <w:p>
            <w:pPr>
              <w:autoSpaceDE w:val="0"/>
              <w:autoSpaceDN w:val="0"/>
              <w:spacing w:before="20" w:after="20" w:line="240" w:lineRule="atLeast"/>
              <w:jc w:val="center"/>
              <w:textAlignment w:val="bottom"/>
              <w:rPr>
                <w:rFonts w:ascii="宋体" w:hAnsi="宋体"/>
                <w:szCs w:val="21"/>
              </w:rPr>
            </w:pPr>
          </w:p>
        </w:tc>
        <w:tc>
          <w:tcPr>
            <w:tcW w:w="1037" w:type="dxa"/>
            <w:vAlign w:val="center"/>
          </w:tcPr>
          <w:p>
            <w:pPr>
              <w:autoSpaceDE w:val="0"/>
              <w:autoSpaceDN w:val="0"/>
              <w:spacing w:before="20" w:after="20" w:line="240" w:lineRule="atLeast"/>
              <w:jc w:val="center"/>
              <w:textAlignment w:val="bottom"/>
              <w:rPr>
                <w:rFonts w:ascii="宋体" w:hAnsi="宋体"/>
                <w:szCs w:val="21"/>
              </w:rPr>
            </w:pPr>
          </w:p>
        </w:tc>
      </w:tr>
      <w:tr>
        <w:trPr>
          <w:cantSplit/>
          <w:trHeight w:val="680" w:hRule="exact"/>
          <w:jc w:val="center"/>
        </w:trPr>
        <w:tc>
          <w:tcPr>
            <w:tcW w:w="764" w:type="dxa"/>
            <w:vAlign w:val="center"/>
          </w:tcPr>
          <w:p>
            <w:pPr>
              <w:autoSpaceDE w:val="0"/>
              <w:autoSpaceDN w:val="0"/>
              <w:spacing w:before="20" w:after="20" w:line="240" w:lineRule="atLeast"/>
              <w:jc w:val="center"/>
              <w:textAlignment w:val="bottom"/>
              <w:rPr>
                <w:rFonts w:ascii="宋体" w:hAnsi="宋体"/>
                <w:szCs w:val="21"/>
              </w:rPr>
            </w:pPr>
            <w:r>
              <w:rPr>
                <w:rFonts w:ascii="宋体" w:hAnsi="宋体"/>
                <w:szCs w:val="21"/>
              </w:rPr>
              <w:t>1</w:t>
            </w:r>
            <w:r>
              <w:rPr>
                <w:rFonts w:hint="eastAsia" w:ascii="宋体" w:hAnsi="宋体"/>
                <w:szCs w:val="21"/>
              </w:rPr>
              <w:t>1</w:t>
            </w:r>
          </w:p>
        </w:tc>
        <w:tc>
          <w:tcPr>
            <w:tcW w:w="5529" w:type="dxa"/>
            <w:vAlign w:val="center"/>
          </w:tcPr>
          <w:p>
            <w:pPr>
              <w:autoSpaceDE w:val="0"/>
              <w:autoSpaceDN w:val="0"/>
              <w:spacing w:before="20" w:after="20" w:line="240" w:lineRule="atLeast"/>
              <w:ind w:left="113"/>
              <w:textAlignment w:val="bottom"/>
              <w:rPr>
                <w:rFonts w:ascii="宋体" w:hAnsi="宋体"/>
                <w:szCs w:val="21"/>
              </w:rPr>
            </w:pPr>
            <w:r>
              <w:rPr>
                <w:szCs w:val="21"/>
              </w:rPr>
              <w:t>收集舱（SLOP）的液位是否经常检查以防止可能的满溢？</w:t>
            </w:r>
          </w:p>
        </w:tc>
        <w:tc>
          <w:tcPr>
            <w:tcW w:w="850" w:type="dxa"/>
            <w:vAlign w:val="center"/>
          </w:tcPr>
          <w:p>
            <w:pPr>
              <w:autoSpaceDE w:val="0"/>
              <w:autoSpaceDN w:val="0"/>
              <w:spacing w:before="20" w:after="20" w:line="240" w:lineRule="atLeast"/>
              <w:jc w:val="center"/>
              <w:textAlignment w:val="bottom"/>
              <w:rPr>
                <w:rFonts w:ascii="宋体" w:hAnsi="宋体"/>
                <w:szCs w:val="21"/>
              </w:rPr>
            </w:pPr>
          </w:p>
        </w:tc>
        <w:tc>
          <w:tcPr>
            <w:tcW w:w="1276" w:type="dxa"/>
            <w:vAlign w:val="center"/>
          </w:tcPr>
          <w:p>
            <w:pPr>
              <w:autoSpaceDE w:val="0"/>
              <w:autoSpaceDN w:val="0"/>
              <w:spacing w:before="20" w:after="20" w:line="240" w:lineRule="atLeast"/>
              <w:jc w:val="center"/>
              <w:textAlignment w:val="bottom"/>
              <w:rPr>
                <w:rFonts w:ascii="宋体" w:hAnsi="宋体"/>
                <w:szCs w:val="21"/>
              </w:rPr>
            </w:pPr>
          </w:p>
        </w:tc>
        <w:tc>
          <w:tcPr>
            <w:tcW w:w="1037" w:type="dxa"/>
            <w:vAlign w:val="center"/>
          </w:tcPr>
          <w:p>
            <w:pPr>
              <w:autoSpaceDE w:val="0"/>
              <w:autoSpaceDN w:val="0"/>
              <w:spacing w:before="20" w:after="20" w:line="240" w:lineRule="atLeast"/>
              <w:jc w:val="center"/>
              <w:textAlignment w:val="bottom"/>
              <w:rPr>
                <w:rFonts w:ascii="宋体" w:hAnsi="宋体"/>
                <w:szCs w:val="21"/>
              </w:rPr>
            </w:pPr>
          </w:p>
        </w:tc>
      </w:tr>
    </w:tbl>
    <w:p>
      <w:pPr>
        <w:pStyle w:val="24"/>
        <w:ind w:firstLine="0" w:firstLineChars="0"/>
        <w:rPr>
          <w:rFonts w:ascii="Times New Roman"/>
          <w:kern w:val="2"/>
        </w:rPr>
      </w:pPr>
    </w:p>
    <w:p>
      <w:pPr>
        <w:widowControl/>
        <w:jc w:val="left"/>
        <w:rPr>
          <w:szCs w:val="20"/>
        </w:rPr>
      </w:pPr>
      <w:r>
        <w:br w:type="page"/>
      </w:r>
    </w:p>
    <w:p>
      <w:pPr>
        <w:pStyle w:val="113"/>
        <w:spacing w:before="120" w:after="120"/>
      </w:pPr>
      <w:r>
        <w:rPr>
          <w:rFonts w:hint="eastAsia"/>
        </w:rPr>
        <w:t>原油洗舱作业安全确认表（原油洗舱结束后）</w:t>
      </w:r>
    </w:p>
    <w:p>
      <w:pPr>
        <w:pStyle w:val="113"/>
        <w:numPr>
          <w:ilvl w:val="1"/>
          <w:numId w:val="0"/>
        </w:numPr>
        <w:spacing w:before="120" w:after="120"/>
        <w:jc w:val="right"/>
      </w:pPr>
      <w:r>
        <w:rPr>
          <w:rFonts w:hint="eastAsia"/>
        </w:rPr>
        <w:t xml:space="preserve">         年  月  日</w:t>
      </w:r>
    </w:p>
    <w:tbl>
      <w:tblPr>
        <w:tblW w:w="9623"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28" w:type="dxa"/>
          <w:left w:w="28" w:type="dxa"/>
          <w:bottom w:w="28" w:type="dxa"/>
          <w:right w:w="28" w:type="dxa"/>
        </w:tblCellMar>
      </w:tblPr>
      <w:tblGrid>
        <w:gridCol w:w="775"/>
        <w:gridCol w:w="5670"/>
        <w:gridCol w:w="851"/>
        <w:gridCol w:w="1276"/>
        <w:gridCol w:w="1051"/>
      </w:tblGrid>
      <w:tr>
        <w:trPr>
          <w:cantSplit/>
          <w:trHeight w:val="680" w:hRule="exact"/>
          <w:jc w:val="center"/>
        </w:trPr>
        <w:tc>
          <w:tcPr>
            <w:tcW w:w="775" w:type="dxa"/>
            <w:vAlign w:val="center"/>
          </w:tcPr>
          <w:p>
            <w:pPr>
              <w:autoSpaceDE w:val="0"/>
              <w:autoSpaceDN w:val="0"/>
              <w:spacing w:before="20" w:after="20" w:line="240" w:lineRule="atLeast"/>
              <w:jc w:val="center"/>
              <w:textAlignment w:val="bottom"/>
              <w:rPr>
                <w:szCs w:val="20"/>
              </w:rPr>
            </w:pPr>
            <w:r>
              <w:rPr>
                <w:szCs w:val="20"/>
              </w:rPr>
              <w:t>序号</w:t>
            </w:r>
          </w:p>
        </w:tc>
        <w:tc>
          <w:tcPr>
            <w:tcW w:w="5670" w:type="dxa"/>
            <w:vAlign w:val="center"/>
          </w:tcPr>
          <w:p>
            <w:pPr>
              <w:autoSpaceDE w:val="0"/>
              <w:autoSpaceDN w:val="0"/>
              <w:spacing w:before="20" w:after="20" w:line="240" w:lineRule="atLeast"/>
              <w:jc w:val="center"/>
              <w:textAlignment w:val="bottom"/>
              <w:rPr>
                <w:szCs w:val="20"/>
              </w:rPr>
            </w:pPr>
            <w:r>
              <w:rPr>
                <w:szCs w:val="20"/>
              </w:rPr>
              <w:t>检</w:t>
            </w:r>
            <w:r>
              <w:rPr>
                <w:szCs w:val="20"/>
              </w:rPr>
              <w:tab/>
            </w:r>
            <w:r>
              <w:rPr>
                <w:szCs w:val="20"/>
              </w:rPr>
              <w:t>查</w:t>
            </w:r>
            <w:r>
              <w:rPr>
                <w:szCs w:val="20"/>
              </w:rPr>
              <w:tab/>
            </w:r>
            <w:r>
              <w:rPr>
                <w:szCs w:val="20"/>
              </w:rPr>
              <w:t>项</w:t>
            </w:r>
            <w:r>
              <w:rPr>
                <w:szCs w:val="20"/>
              </w:rPr>
              <w:tab/>
            </w:r>
            <w:r>
              <w:rPr>
                <w:szCs w:val="20"/>
              </w:rPr>
              <w:t>目</w:t>
            </w:r>
          </w:p>
        </w:tc>
        <w:tc>
          <w:tcPr>
            <w:tcW w:w="851" w:type="dxa"/>
            <w:vAlign w:val="center"/>
          </w:tcPr>
          <w:p>
            <w:pPr>
              <w:autoSpaceDE w:val="0"/>
              <w:autoSpaceDN w:val="0"/>
              <w:spacing w:before="20" w:after="20" w:line="240" w:lineRule="atLeast"/>
              <w:jc w:val="center"/>
              <w:textAlignment w:val="bottom"/>
              <w:rPr>
                <w:szCs w:val="20"/>
              </w:rPr>
            </w:pPr>
            <w:r>
              <w:rPr>
                <w:szCs w:val="20"/>
              </w:rPr>
              <w:t>船  方</w:t>
            </w:r>
          </w:p>
        </w:tc>
        <w:tc>
          <w:tcPr>
            <w:tcW w:w="1276" w:type="dxa"/>
            <w:vAlign w:val="center"/>
          </w:tcPr>
          <w:p>
            <w:pPr>
              <w:autoSpaceDE w:val="0"/>
              <w:autoSpaceDN w:val="0"/>
              <w:spacing w:before="20" w:after="20" w:line="240" w:lineRule="atLeast"/>
              <w:jc w:val="center"/>
              <w:textAlignment w:val="bottom"/>
              <w:rPr>
                <w:szCs w:val="20"/>
              </w:rPr>
            </w:pPr>
            <w:r>
              <w:rPr>
                <w:szCs w:val="20"/>
              </w:rPr>
              <w:t>岸  方</w:t>
            </w:r>
          </w:p>
        </w:tc>
        <w:tc>
          <w:tcPr>
            <w:tcW w:w="1051" w:type="dxa"/>
            <w:vAlign w:val="center"/>
          </w:tcPr>
          <w:p>
            <w:pPr>
              <w:autoSpaceDE w:val="0"/>
              <w:autoSpaceDN w:val="0"/>
              <w:spacing w:before="20" w:after="20" w:line="240" w:lineRule="atLeast"/>
              <w:jc w:val="center"/>
              <w:textAlignment w:val="bottom"/>
              <w:rPr>
                <w:szCs w:val="20"/>
              </w:rPr>
            </w:pPr>
            <w:r>
              <w:rPr>
                <w:szCs w:val="20"/>
              </w:rPr>
              <w:t>备注</w:t>
            </w:r>
          </w:p>
        </w:tc>
      </w:tr>
      <w:tr>
        <w:trPr>
          <w:cantSplit/>
          <w:trHeight w:val="680" w:hRule="exact"/>
          <w:jc w:val="center"/>
        </w:trPr>
        <w:tc>
          <w:tcPr>
            <w:tcW w:w="775" w:type="dxa"/>
            <w:vAlign w:val="center"/>
          </w:tcPr>
          <w:p>
            <w:pPr>
              <w:autoSpaceDE w:val="0"/>
              <w:autoSpaceDN w:val="0"/>
              <w:spacing w:before="20" w:after="20" w:line="240" w:lineRule="atLeast"/>
              <w:jc w:val="center"/>
              <w:textAlignment w:val="bottom"/>
              <w:rPr>
                <w:rFonts w:ascii="宋体" w:hAnsi="宋体"/>
                <w:szCs w:val="20"/>
              </w:rPr>
            </w:pPr>
            <w:r>
              <w:rPr>
                <w:rFonts w:ascii="宋体" w:hAnsi="宋体"/>
                <w:szCs w:val="20"/>
              </w:rPr>
              <w:t>1</w:t>
            </w:r>
          </w:p>
        </w:tc>
        <w:tc>
          <w:tcPr>
            <w:tcW w:w="5670" w:type="dxa"/>
            <w:vAlign w:val="center"/>
          </w:tcPr>
          <w:p>
            <w:pPr>
              <w:autoSpaceDE w:val="0"/>
              <w:autoSpaceDN w:val="0"/>
              <w:spacing w:before="20" w:after="20" w:line="240" w:lineRule="atLeast"/>
              <w:ind w:left="113"/>
              <w:textAlignment w:val="bottom"/>
              <w:rPr>
                <w:szCs w:val="20"/>
              </w:rPr>
            </w:pPr>
            <w:r>
              <w:rPr>
                <w:szCs w:val="20"/>
              </w:rPr>
              <w:t>卸油管路与洗舱管路间阀门是否全部关闭？</w:t>
            </w:r>
          </w:p>
        </w:tc>
        <w:tc>
          <w:tcPr>
            <w:tcW w:w="851" w:type="dxa"/>
            <w:vAlign w:val="top"/>
          </w:tcPr>
          <w:p>
            <w:pPr>
              <w:autoSpaceDE w:val="0"/>
              <w:autoSpaceDN w:val="0"/>
              <w:spacing w:before="20" w:after="20" w:line="240" w:lineRule="atLeast"/>
              <w:jc w:val="center"/>
              <w:textAlignment w:val="bottom"/>
              <w:rPr>
                <w:rFonts w:ascii="宋体" w:hAnsi="宋体"/>
                <w:szCs w:val="20"/>
              </w:rPr>
            </w:pPr>
          </w:p>
        </w:tc>
        <w:tc>
          <w:tcPr>
            <w:tcW w:w="1276" w:type="dxa"/>
            <w:vAlign w:val="top"/>
          </w:tcPr>
          <w:p>
            <w:pPr>
              <w:autoSpaceDE w:val="0"/>
              <w:autoSpaceDN w:val="0"/>
              <w:spacing w:before="20" w:after="20" w:line="240" w:lineRule="atLeast"/>
              <w:jc w:val="center"/>
              <w:textAlignment w:val="bottom"/>
              <w:rPr>
                <w:rFonts w:ascii="宋体" w:hAnsi="宋体"/>
                <w:szCs w:val="20"/>
              </w:rPr>
            </w:pPr>
          </w:p>
        </w:tc>
        <w:tc>
          <w:tcPr>
            <w:tcW w:w="1051" w:type="dxa"/>
            <w:vAlign w:val="top"/>
          </w:tcPr>
          <w:p>
            <w:pPr>
              <w:autoSpaceDE w:val="0"/>
              <w:autoSpaceDN w:val="0"/>
              <w:spacing w:before="20" w:after="20" w:line="240" w:lineRule="atLeast"/>
              <w:jc w:val="center"/>
              <w:textAlignment w:val="bottom"/>
              <w:rPr>
                <w:rFonts w:ascii="宋体" w:hAnsi="宋体"/>
                <w:szCs w:val="20"/>
              </w:rPr>
            </w:pPr>
          </w:p>
        </w:tc>
      </w:tr>
      <w:tr>
        <w:trPr>
          <w:cantSplit/>
          <w:trHeight w:val="680" w:hRule="exact"/>
          <w:jc w:val="center"/>
        </w:trPr>
        <w:tc>
          <w:tcPr>
            <w:tcW w:w="775" w:type="dxa"/>
            <w:vAlign w:val="center"/>
          </w:tcPr>
          <w:p>
            <w:pPr>
              <w:autoSpaceDE w:val="0"/>
              <w:autoSpaceDN w:val="0"/>
              <w:spacing w:before="20" w:after="20" w:line="240" w:lineRule="atLeast"/>
              <w:jc w:val="center"/>
              <w:textAlignment w:val="bottom"/>
              <w:rPr>
                <w:rFonts w:ascii="宋体" w:hAnsi="宋体"/>
                <w:szCs w:val="20"/>
              </w:rPr>
            </w:pPr>
            <w:r>
              <w:rPr>
                <w:rFonts w:ascii="宋体" w:hAnsi="宋体"/>
                <w:szCs w:val="20"/>
              </w:rPr>
              <w:t>2</w:t>
            </w:r>
          </w:p>
        </w:tc>
        <w:tc>
          <w:tcPr>
            <w:tcW w:w="5670" w:type="dxa"/>
            <w:vAlign w:val="center"/>
          </w:tcPr>
          <w:p>
            <w:pPr>
              <w:autoSpaceDE w:val="0"/>
              <w:autoSpaceDN w:val="0"/>
              <w:spacing w:before="20" w:after="20" w:line="240" w:lineRule="atLeast"/>
              <w:ind w:left="113"/>
              <w:textAlignment w:val="bottom"/>
              <w:rPr>
                <w:szCs w:val="20"/>
              </w:rPr>
            </w:pPr>
            <w:r>
              <w:rPr>
                <w:szCs w:val="20"/>
              </w:rPr>
              <w:t>洗舱管系内的残油是否已泄放干净？</w:t>
            </w:r>
          </w:p>
        </w:tc>
        <w:tc>
          <w:tcPr>
            <w:tcW w:w="851" w:type="dxa"/>
            <w:vAlign w:val="top"/>
          </w:tcPr>
          <w:p>
            <w:pPr>
              <w:autoSpaceDE w:val="0"/>
              <w:autoSpaceDN w:val="0"/>
              <w:spacing w:before="20" w:after="20" w:line="240" w:lineRule="atLeast"/>
              <w:jc w:val="center"/>
              <w:textAlignment w:val="bottom"/>
              <w:rPr>
                <w:rFonts w:ascii="宋体" w:hAnsi="宋体"/>
                <w:szCs w:val="20"/>
              </w:rPr>
            </w:pPr>
          </w:p>
        </w:tc>
        <w:tc>
          <w:tcPr>
            <w:tcW w:w="1276" w:type="dxa"/>
            <w:vAlign w:val="top"/>
          </w:tcPr>
          <w:p>
            <w:pPr>
              <w:autoSpaceDE w:val="0"/>
              <w:autoSpaceDN w:val="0"/>
              <w:spacing w:before="20" w:after="20" w:line="240" w:lineRule="atLeast"/>
              <w:jc w:val="center"/>
              <w:textAlignment w:val="bottom"/>
              <w:rPr>
                <w:rFonts w:ascii="宋体" w:hAnsi="宋体"/>
                <w:szCs w:val="20"/>
              </w:rPr>
            </w:pPr>
          </w:p>
        </w:tc>
        <w:tc>
          <w:tcPr>
            <w:tcW w:w="1051" w:type="dxa"/>
            <w:vAlign w:val="top"/>
          </w:tcPr>
          <w:p>
            <w:pPr>
              <w:autoSpaceDE w:val="0"/>
              <w:autoSpaceDN w:val="0"/>
              <w:spacing w:before="20" w:after="20" w:line="240" w:lineRule="atLeast"/>
              <w:jc w:val="center"/>
              <w:textAlignment w:val="bottom"/>
              <w:rPr>
                <w:rFonts w:ascii="宋体" w:hAnsi="宋体"/>
                <w:szCs w:val="20"/>
              </w:rPr>
            </w:pPr>
          </w:p>
        </w:tc>
      </w:tr>
      <w:tr>
        <w:trPr>
          <w:cantSplit/>
          <w:trHeight w:val="680" w:hRule="exact"/>
          <w:jc w:val="center"/>
        </w:trPr>
        <w:tc>
          <w:tcPr>
            <w:tcW w:w="775" w:type="dxa"/>
            <w:vAlign w:val="center"/>
          </w:tcPr>
          <w:p>
            <w:pPr>
              <w:autoSpaceDE w:val="0"/>
              <w:autoSpaceDN w:val="0"/>
              <w:spacing w:before="20" w:after="20" w:line="240" w:lineRule="atLeast"/>
              <w:jc w:val="center"/>
              <w:textAlignment w:val="bottom"/>
              <w:rPr>
                <w:rFonts w:ascii="宋体" w:hAnsi="宋体"/>
                <w:szCs w:val="20"/>
              </w:rPr>
            </w:pPr>
            <w:r>
              <w:rPr>
                <w:rFonts w:hint="eastAsia" w:ascii="宋体" w:hAnsi="宋体"/>
                <w:szCs w:val="20"/>
              </w:rPr>
              <w:t>3</w:t>
            </w:r>
          </w:p>
        </w:tc>
        <w:tc>
          <w:tcPr>
            <w:tcW w:w="5670" w:type="dxa"/>
            <w:vAlign w:val="center"/>
          </w:tcPr>
          <w:p>
            <w:pPr>
              <w:autoSpaceDE w:val="0"/>
              <w:autoSpaceDN w:val="0"/>
              <w:spacing w:before="20" w:after="20" w:line="240" w:lineRule="atLeast"/>
              <w:ind w:left="113"/>
              <w:textAlignment w:val="bottom"/>
              <w:rPr>
                <w:szCs w:val="20"/>
              </w:rPr>
            </w:pPr>
            <w:r>
              <w:rPr>
                <w:szCs w:val="20"/>
              </w:rPr>
              <w:t>洗舱机上的阀门是否已全部关闭？</w:t>
            </w:r>
          </w:p>
        </w:tc>
        <w:tc>
          <w:tcPr>
            <w:tcW w:w="851" w:type="dxa"/>
            <w:vAlign w:val="top"/>
          </w:tcPr>
          <w:p>
            <w:pPr>
              <w:autoSpaceDE w:val="0"/>
              <w:autoSpaceDN w:val="0"/>
              <w:spacing w:before="20" w:after="20" w:line="240" w:lineRule="atLeast"/>
              <w:jc w:val="center"/>
              <w:textAlignment w:val="bottom"/>
              <w:rPr>
                <w:rFonts w:ascii="宋体" w:hAnsi="宋体"/>
                <w:szCs w:val="20"/>
              </w:rPr>
            </w:pPr>
          </w:p>
        </w:tc>
        <w:tc>
          <w:tcPr>
            <w:tcW w:w="1276" w:type="dxa"/>
            <w:vAlign w:val="top"/>
          </w:tcPr>
          <w:p>
            <w:pPr>
              <w:autoSpaceDE w:val="0"/>
              <w:autoSpaceDN w:val="0"/>
              <w:spacing w:before="20" w:after="20" w:line="240" w:lineRule="atLeast"/>
              <w:jc w:val="center"/>
              <w:textAlignment w:val="bottom"/>
              <w:rPr>
                <w:rFonts w:ascii="宋体" w:hAnsi="宋体"/>
                <w:szCs w:val="20"/>
              </w:rPr>
            </w:pPr>
          </w:p>
        </w:tc>
        <w:tc>
          <w:tcPr>
            <w:tcW w:w="1051" w:type="dxa"/>
            <w:vAlign w:val="top"/>
          </w:tcPr>
          <w:p>
            <w:pPr>
              <w:autoSpaceDE w:val="0"/>
              <w:autoSpaceDN w:val="0"/>
              <w:spacing w:before="20" w:after="20" w:line="240" w:lineRule="atLeast"/>
              <w:jc w:val="center"/>
              <w:textAlignment w:val="bottom"/>
              <w:rPr>
                <w:rFonts w:ascii="宋体" w:hAnsi="宋体"/>
                <w:szCs w:val="20"/>
              </w:rPr>
            </w:pPr>
          </w:p>
        </w:tc>
      </w:tr>
      <w:tr>
        <w:trPr>
          <w:cantSplit/>
          <w:trHeight w:val="680" w:hRule="exact"/>
          <w:jc w:val="center"/>
        </w:trPr>
        <w:tc>
          <w:tcPr>
            <w:tcW w:w="775" w:type="dxa"/>
            <w:vAlign w:val="center"/>
          </w:tcPr>
          <w:p>
            <w:pPr>
              <w:autoSpaceDE w:val="0"/>
              <w:autoSpaceDN w:val="0"/>
              <w:spacing w:before="20" w:after="20" w:line="240" w:lineRule="atLeast"/>
              <w:jc w:val="center"/>
              <w:textAlignment w:val="bottom"/>
              <w:rPr>
                <w:rFonts w:ascii="宋体" w:hAnsi="宋体"/>
                <w:szCs w:val="20"/>
              </w:rPr>
            </w:pPr>
            <w:r>
              <w:rPr>
                <w:rFonts w:hint="eastAsia" w:ascii="宋体" w:hAnsi="宋体"/>
                <w:szCs w:val="20"/>
              </w:rPr>
              <w:t>4</w:t>
            </w:r>
          </w:p>
        </w:tc>
        <w:tc>
          <w:tcPr>
            <w:tcW w:w="5670" w:type="dxa"/>
            <w:vAlign w:val="center"/>
          </w:tcPr>
          <w:p>
            <w:pPr>
              <w:autoSpaceDE w:val="0"/>
              <w:autoSpaceDN w:val="0"/>
              <w:spacing w:before="20" w:after="20" w:line="240" w:lineRule="atLeast"/>
              <w:ind w:left="113"/>
              <w:textAlignment w:val="bottom"/>
              <w:rPr>
                <w:szCs w:val="20"/>
              </w:rPr>
            </w:pPr>
            <w:r>
              <w:rPr>
                <w:szCs w:val="20"/>
              </w:rPr>
              <w:t>货泵、货舱、管线是否按照《原油洗舱操作手册》的要求泄放干净？</w:t>
            </w:r>
          </w:p>
        </w:tc>
        <w:tc>
          <w:tcPr>
            <w:tcW w:w="851" w:type="dxa"/>
            <w:vAlign w:val="top"/>
          </w:tcPr>
          <w:p>
            <w:pPr>
              <w:autoSpaceDE w:val="0"/>
              <w:autoSpaceDN w:val="0"/>
              <w:spacing w:before="20" w:after="20" w:line="240" w:lineRule="atLeast"/>
              <w:jc w:val="center"/>
              <w:textAlignment w:val="bottom"/>
              <w:rPr>
                <w:rFonts w:ascii="宋体" w:hAnsi="宋体"/>
                <w:szCs w:val="20"/>
              </w:rPr>
            </w:pPr>
          </w:p>
        </w:tc>
        <w:tc>
          <w:tcPr>
            <w:tcW w:w="1276" w:type="dxa"/>
            <w:vAlign w:val="top"/>
          </w:tcPr>
          <w:p>
            <w:pPr>
              <w:autoSpaceDE w:val="0"/>
              <w:autoSpaceDN w:val="0"/>
              <w:spacing w:before="20" w:after="20" w:line="240" w:lineRule="atLeast"/>
              <w:jc w:val="center"/>
              <w:textAlignment w:val="bottom"/>
              <w:rPr>
                <w:rFonts w:ascii="宋体" w:hAnsi="宋体"/>
                <w:szCs w:val="20"/>
              </w:rPr>
            </w:pPr>
          </w:p>
        </w:tc>
        <w:tc>
          <w:tcPr>
            <w:tcW w:w="1051" w:type="dxa"/>
            <w:vAlign w:val="top"/>
          </w:tcPr>
          <w:p>
            <w:pPr>
              <w:autoSpaceDE w:val="0"/>
              <w:autoSpaceDN w:val="0"/>
              <w:spacing w:before="20" w:after="20" w:line="240" w:lineRule="atLeast"/>
              <w:jc w:val="center"/>
              <w:textAlignment w:val="bottom"/>
              <w:rPr>
                <w:rFonts w:ascii="宋体" w:hAnsi="宋体"/>
                <w:szCs w:val="20"/>
              </w:rPr>
            </w:pPr>
          </w:p>
        </w:tc>
      </w:tr>
    </w:tbl>
    <w:p>
      <w:pPr>
        <w:pStyle w:val="24"/>
        <w:ind w:firstLine="0" w:firstLineChars="0"/>
        <w:rPr>
          <w:kern w:val="2"/>
          <w:sz w:val="18"/>
          <w:szCs w:val="24"/>
        </w:rPr>
      </w:pPr>
    </w:p>
    <w:p>
      <w:pPr>
        <w:pStyle w:val="24"/>
        <w:ind w:firstLine="0" w:firstLineChars="0"/>
        <w:jc w:val="center"/>
      </w:pPr>
      <w:r>
        <w:t>_________________________________</w:t>
      </w:r>
    </w:p>
    <w:p>
      <w:pPr>
        <w:pStyle w:val="24"/>
        <w:ind w:firstLine="0" w:firstLineChars="0"/>
        <w:jc w:val="center"/>
      </w:pPr>
    </w:p>
    <w:p>
      <w:pPr>
        <w:pStyle w:val="24"/>
      </w:pPr>
    </w:p>
    <w:sectPr>
      <w:headerReference r:id="rId13" w:type="default"/>
      <w:pgSz w:w="11906" w:h="16838"/>
      <w:pgMar w:top="851" w:right="1134" w:bottom="1134" w:left="1418" w:header="1418" w:footer="1134" w:gutter="0"/>
      <w:cols w:space="720" w:num="1"/>
      <w:formProt w:val="0"/>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Batang">
    <w:panose1 w:val="02030600000101010101"/>
    <w:charset w:val="81"/>
    <w:family w:val="auto"/>
    <w:pitch w:val="default"/>
    <w:sig w:usb0="B00002AF" w:usb1="69D77CFB" w:usb2="00000030" w:usb3="00000000" w:csb0="4008009F" w:csb1="DFD70000"/>
  </w:font>
  <w:font w:name="楷体_GB2312">
    <w:altName w:val="楷体"/>
    <w:panose1 w:val="02010609030101010101"/>
    <w:charset w:val="86"/>
    <w:family w:val="auto"/>
    <w:pitch w:val="default"/>
    <w:sig w:usb0="00000001" w:usb1="080E0000" w:usb2="00000010" w:usb3="00000000" w:csb0="00040000" w:csb1="00000000"/>
  </w:font>
  <w:font w:name="仿宋_GB2312">
    <w:altName w:val="仿宋"/>
    <w:panose1 w:val="02010609030101010101"/>
    <w:charset w:val="86"/>
    <w:family w:val="auto"/>
    <w:pitch w:val="default"/>
    <w:sig w:usb0="00000000" w:usb1="080E0000" w:usb2="00000010" w:usb3="00000000" w:csb0="00040000"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default"/>
    <w:sig w:usb0="E00002FF" w:usb1="420024FF" w:usb2="00000000" w:usb3="00000000" w:csb0="2000019F" w:csb1="00000000"/>
  </w:font>
  <w:font w:name="方正仿宋简体">
    <w:altName w:val="仿宋"/>
    <w:panose1 w:val="00000000000000000000"/>
    <w:charset w:val="86"/>
    <w:family w:val="auto"/>
    <w:pitch w:val="default"/>
    <w:sig w:usb0="00000000" w:usb1="080E0000" w:usb2="00000010" w:usb3="00000000" w:csb0="00040000" w:csb1="00000000"/>
  </w:font>
  <w:font w:name="等线 Light">
    <w:altName w:val="宋体"/>
    <w:panose1 w:val="02010600030101010101"/>
    <w:charset w:val="86"/>
    <w:family w:val="auto"/>
    <w:pitch w:val="default"/>
    <w:sig w:usb0="A00002BF" w:usb1="38CF7CFA" w:usb2="00000016" w:usb3="00000000" w:csb0="0004000F" w:csb1="00000000"/>
  </w:font>
  <w:font w:name="等线">
    <w:altName w:val="宋体"/>
    <w:panose1 w:val="02010600030101010101"/>
    <w:charset w:val="86"/>
    <w:family w:val="auto"/>
    <w:pitch w:val="default"/>
    <w:sig w:usb0="A00002BF" w:usb1="38CF7CFA" w:usb2="00000016" w:usb3="00000000" w:csb0="0004000F" w:csb1="00000000"/>
  </w:font>
  <w:font w:name="瀹嬩綋">
    <w:altName w:val="微软雅黑"/>
    <w:panose1 w:val="00000000000000000000"/>
    <w:charset w:val="01"/>
    <w:family w:val="auto"/>
    <w:pitch w:val="default"/>
    <w:sig w:usb0="00000000" w:usb1="00000000" w:usb2="00000000" w:usb3="00000000" w:csb0="00040001" w:csb1="00000000"/>
  </w:font>
  <w:font w:name="Helvetica Neue">
    <w:altName w:val="微软雅黑"/>
    <w:panose1 w:val="00000000000000000000"/>
    <w:charset w:val="01"/>
    <w:family w:val="auto"/>
    <w:pitch w:val="default"/>
    <w:sig w:usb0="00000000" w:usb1="00000000" w:usb2="00000000" w:usb3="00000000" w:csb0="00040001" w:csb1="00000000"/>
  </w:font>
  <w:font w:name="Arial Narrow">
    <w:altName w:val="Arial"/>
    <w:panose1 w:val="020B0606020202030204"/>
    <w:charset w:val="00"/>
    <w:family w:val="auto"/>
    <w:pitch w:val="default"/>
    <w:sig w:usb0="00000287" w:usb1="00000800" w:usb2="00000000" w:usb3="00000000" w:csb0="0000009F" w:csb1="00000000"/>
  </w:font>
  <w:font w:name="Helvetica">
    <w:altName w:val="Microsoft Sans Serif"/>
    <w:panose1 w:val="020B0604020202020204"/>
    <w:charset w:val="00"/>
    <w:family w:val="swiss"/>
    <w:pitch w:val="default"/>
    <w:sig w:usb0="E0002AFF" w:usb1="C0007843" w:usb2="00000009" w:usb3="00000000" w:csb0="000001FF" w:csb1="00000000"/>
  </w:font>
  <w:font w:name="Aharoni">
    <w:panose1 w:val="02010803020104030203"/>
    <w:charset w:val="B1"/>
    <w:family w:val="auto"/>
    <w:pitch w:val="default"/>
    <w:sig w:usb0="00000801" w:usb1="00000000" w:usb2="00000000" w:usb3="00000000" w:csb0="00000020" w:csb1="00200000"/>
  </w:font>
  <w:font w:name="Microsoft Sans Serif">
    <w:panose1 w:val="020B0604020202020204"/>
    <w:charset w:val="00"/>
    <w:family w:val="auto"/>
    <w:pitch w:val="default"/>
    <w:sig w:usb0="E1002AFF" w:usb1="C0000002" w:usb2="00000008" w:usb3="00000000" w:csb0="200101FF" w:csb1="20280000"/>
  </w:font>
  <w:font w:name="Verdana">
    <w:panose1 w:val="020B0604030504040204"/>
    <w:charset w:val="00"/>
    <w:family w:val="auto"/>
    <w:pitch w:val="default"/>
    <w:sig w:usb0="A10006FF" w:usb1="4000205B" w:usb2="00000010" w:usb3="00000000" w:csb0="2000019F" w:csb1="00000000"/>
  </w:font>
  <w:font w:name="Calibri Light">
    <w:panose1 w:val="020F0302020204030204"/>
    <w:charset w:val="00"/>
    <w:family w:val="auto"/>
    <w:pitch w:val="default"/>
    <w:sig w:usb0="A00002EF" w:usb1="4000207B" w:usb2="00000000" w:usb3="00000000" w:csb0="2000019F" w:csb1="00000000"/>
  </w:font>
  <w:font w:name="Century Gothic">
    <w:altName w:val="Segoe Print"/>
    <w:panose1 w:val="020B0502020202020204"/>
    <w:charset w:val="00"/>
    <w:family w:val="auto"/>
    <w:pitch w:val="default"/>
    <w:sig w:usb0="00000287" w:usb1="00000000" w:usb2="00000000" w:usb3="00000000" w:csb0="2000009F" w:csb1="DFD70000"/>
  </w:font>
  <w:font w:name="Segoe Print">
    <w:panose1 w:val="02000600000000000000"/>
    <w:charset w:val="00"/>
    <w:family w:val="auto"/>
    <w:pitch w:val="default"/>
    <w:sig w:usb0="0000028F" w:usb1="00000000" w:usb2="00000000" w:usb3="00000000" w:csb0="2000009F" w:csb1="4701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93"/>
      <w:ind w:right="227"/>
    </w:pPr>
    <w:r>
      <w:fldChar w:fldCharType="begin"/>
    </w:r>
    <w:r>
      <w:instrText xml:space="preserve"> PAGE  \* MERGEFORMAT </w:instrText>
    </w:r>
    <w:r>
      <w:fldChar w:fldCharType="separate"/>
    </w:r>
    <w:r>
      <w:t>II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6"/>
    </w:pPr>
    <w:r>
      <w:fldChar w:fldCharType="begin"/>
    </w:r>
    <w:r>
      <w:instrText xml:space="preserve">PAGE   \* MERGEFORMAT</w:instrText>
    </w:r>
    <w:r>
      <w:fldChar w:fldCharType="separate"/>
    </w:r>
    <w:r>
      <w:rPr>
        <w:lang w:val="zh-CN"/>
      </w:rPr>
      <w:t>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6"/>
      <w:rPr>
        <w:u w:val="single"/>
      </w:rPr>
    </w:pPr>
    <w:r>
      <w:fldChar w:fldCharType="begin"/>
    </w:r>
    <w:r>
      <w:instrText xml:space="preserve">PAGE   \* MERGEFORMAT</w:instrText>
    </w:r>
    <w:r>
      <w:fldChar w:fldCharType="separate"/>
    </w:r>
    <w:r>
      <w:rPr>
        <w:lang w:val="zh-CN"/>
      </w:rPr>
      <w:t>5</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93"/>
    </w:pPr>
    <w:r>
      <w:fldChar w:fldCharType="begin"/>
    </w:r>
    <w:r>
      <w:instrText xml:space="preserve"> PAGE  \* MERGEFORMAT </w:instrText>
    </w:r>
    <w:r>
      <w:fldChar w:fldCharType="separate"/>
    </w:r>
    <w:r>
      <w:t>4</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2"/>
      <w:tabs>
        <w:tab w:val="center" w:pos="4154"/>
        <w:tab w:val="right" w:pos="8306"/>
      </w:tabs>
    </w:pPr>
    <w:r>
      <w:rPr>
        <w:rFonts w:hint="eastAsia"/>
      </w:rPr>
      <w:t>GB154-201X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3"/>
    </w:pPr>
    <w:r>
      <w:rPr>
        <w:rFonts w:ascii="Times New Roman"/>
      </w:rPr>
      <w:t xml:space="preserve"> GB </w:t>
    </w:r>
    <w:r>
      <w:t>XXX</w:t>
    </w:r>
    <w:r>
      <w:rPr>
        <w:rFonts w:hint="eastAsia"/>
      </w:rPr>
      <w:t>XX-</w:t>
    </w:r>
    <w:r>
      <w:t>XXX</w:t>
    </w:r>
    <w:r>
      <w:rPr>
        <w:rFonts w:hint="eastAsia"/>
      </w:rPr>
      <w:t>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2"/>
      <w:tabs>
        <w:tab w:val="center" w:pos="4154"/>
        <w:tab w:val="right" w:pos="8306"/>
      </w:tabs>
    </w:pPr>
    <w:r>
      <w:rPr>
        <w:rFonts w:ascii="Times New Roman"/>
      </w:rPr>
      <w:t>GB</w:t>
    </w:r>
    <w:r>
      <w:rPr>
        <w:rFonts w:hint="eastAsia"/>
      </w:rPr>
      <w:t xml:space="preserve"> </w:t>
    </w:r>
    <w:r>
      <w:t>XXX</w:t>
    </w:r>
    <w:r>
      <w:rPr>
        <w:rFonts w:hint="eastAsia"/>
      </w:rPr>
      <w:t>XX-</w:t>
    </w:r>
    <w:r>
      <w:t>XXX</w:t>
    </w:r>
    <w:r>
      <w:rPr>
        <w:rFonts w:hint="eastAsia"/>
      </w:rPr>
      <w:t>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3"/>
    </w:pPr>
    <w:r>
      <w:t xml:space="preserve"> </w:t>
    </w:r>
    <w:r>
      <w:rPr>
        <w:rFonts w:ascii="Times New Roman"/>
      </w:rPr>
      <w:t>GB</w:t>
    </w:r>
    <w:r>
      <w:rPr>
        <w:rFonts w:hint="eastAsia"/>
      </w:rPr>
      <w:t xml:space="preserve"> </w:t>
    </w:r>
    <w:r>
      <w:t>XXX</w:t>
    </w:r>
    <w:r>
      <w:rPr>
        <w:rFonts w:hint="eastAsia"/>
      </w:rPr>
      <w:t>XX-XXXX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2"/>
      <w:tabs>
        <w:tab w:val="center" w:pos="4154"/>
        <w:tab w:val="right" w:pos="8306"/>
      </w:tabs>
    </w:pPr>
    <w:r>
      <w:rPr>
        <w:rFonts w:ascii="Times New Roman"/>
      </w:rPr>
      <w:t>GB</w:t>
    </w:r>
    <w:r>
      <w:rPr>
        <w:rFonts w:hint="eastAsia"/>
      </w:rPr>
      <w:t xml:space="preserve"> </w:t>
    </w:r>
    <w:r>
      <w:t>XXX</w:t>
    </w:r>
    <w:r>
      <w:rPr>
        <w:rFonts w:hint="eastAsia"/>
      </w:rPr>
      <w:t>XX-XXXX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3"/>
    </w:pPr>
    <w:r>
      <w:rPr>
        <w:rFonts w:ascii="Times New Roman"/>
      </w:rPr>
      <w:t>GB</w:t>
    </w:r>
    <w:r>
      <w:rPr>
        <w:rFonts w:hint="eastAsia"/>
      </w:rPr>
      <w:t xml:space="preserve"> </w:t>
    </w:r>
    <w:r>
      <w:t>XXX</w:t>
    </w:r>
    <w:r>
      <w:rPr>
        <w:rFonts w:hint="eastAsia"/>
      </w:rPr>
      <w:t>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533270883">
    <w:nsid w:val="1FC91163"/>
    <w:multiLevelType w:val="multilevel"/>
    <w:tmpl w:val="1FC91163"/>
    <w:lvl w:ilvl="0" w:tentative="1">
      <w:start w:val="1"/>
      <w:numFmt w:val="decimal"/>
      <w:pStyle w:val="88"/>
      <w:suff w:val="nothing"/>
      <w:lvlText w:val="%1　"/>
      <w:lvlJc w:val="left"/>
      <w:pPr>
        <w:ind w:left="0" w:firstLine="0"/>
      </w:pPr>
      <w:rPr>
        <w:rFonts w:hint="eastAsia" w:ascii="黑体" w:hAnsi="Times New Roman" w:eastAsia="黑体"/>
        <w:b w:val="0"/>
        <w:i w:val="0"/>
        <w:sz w:val="21"/>
        <w:szCs w:val="21"/>
      </w:rPr>
    </w:lvl>
    <w:lvl w:ilvl="1" w:tentative="1">
      <w:start w:val="1"/>
      <w:numFmt w:val="decimal"/>
      <w:pStyle w:val="46"/>
      <w:suff w:val="nothing"/>
      <w:lvlText w:val="%1.%2　"/>
      <w:lvlJc w:val="left"/>
      <w:pPr>
        <w:ind w:left="0" w:firstLine="0"/>
      </w:pPr>
      <w:rPr>
        <w:rFonts w:hint="eastAsia" w:ascii="黑体" w:hAnsi="Times New Roman" w:eastAsia="黑体" w:cs="Times New Roman"/>
        <w:b w:val="0"/>
        <w:bCs w:val="0"/>
        <w:i w:val="0"/>
        <w:iCs w:val="0"/>
        <w:caps w:val="0"/>
        <w:strike w:val="0"/>
        <w:dstrike w:val="0"/>
        <w:color w:val="000000"/>
        <w:spacing w:val="0"/>
        <w:kern w:val="0"/>
        <w:position w:val="0"/>
        <w:sz w:val="21"/>
        <w:szCs w:val="21"/>
        <w:u w:val="none"/>
      </w:rPr>
    </w:lvl>
    <w:lvl w:ilvl="2" w:tentative="1">
      <w:start w:val="1"/>
      <w:numFmt w:val="decimal"/>
      <w:suff w:val="nothing"/>
      <w:lvlText w:val="%1.%2.%3　"/>
      <w:lvlJc w:val="left"/>
      <w:pPr>
        <w:ind w:left="1135" w:firstLine="0"/>
      </w:pPr>
      <w:rPr>
        <w:rFonts w:hint="eastAsia" w:ascii="黑体" w:hAnsi="Times New Roman" w:eastAsia="黑体"/>
        <w:b w:val="0"/>
        <w:i w:val="0"/>
        <w:sz w:val="21"/>
      </w:rPr>
    </w:lvl>
    <w:lvl w:ilvl="3" w:tentative="1">
      <w:start w:val="1"/>
      <w:numFmt w:val="decimal"/>
      <w:suff w:val="nothing"/>
      <w:lvlText w:val="%1.%2.%3.%4　"/>
      <w:lvlJc w:val="left"/>
      <w:pPr>
        <w:ind w:left="0" w:firstLine="0"/>
      </w:pPr>
      <w:rPr>
        <w:rFonts w:hint="eastAsia" w:ascii="黑体" w:hAnsi="Times New Roman" w:eastAsia="黑体"/>
        <w:b w:val="0"/>
        <w:i w:val="0"/>
        <w:sz w:val="21"/>
      </w:rPr>
    </w:lvl>
    <w:lvl w:ilvl="4" w:tentative="1">
      <w:start w:val="1"/>
      <w:numFmt w:val="decimal"/>
      <w:suff w:val="nothing"/>
      <w:lvlText w:val="%1.%2.%3.%4.%5　"/>
      <w:lvlJc w:val="left"/>
      <w:pPr>
        <w:ind w:left="0" w:firstLine="0"/>
      </w:pPr>
      <w:rPr>
        <w:rFonts w:hint="eastAsia" w:ascii="黑体" w:hAnsi="Times New Roman" w:eastAsia="黑体"/>
        <w:b w:val="0"/>
        <w:i w:val="0"/>
        <w:sz w:val="21"/>
      </w:rPr>
    </w:lvl>
    <w:lvl w:ilvl="5" w:tentative="1">
      <w:start w:val="1"/>
      <w:numFmt w:val="decimal"/>
      <w:suff w:val="nothing"/>
      <w:lvlText w:val="%1.%2.%3.%4.%5.%6　"/>
      <w:lvlJc w:val="left"/>
      <w:pPr>
        <w:ind w:left="0" w:firstLine="0"/>
      </w:pPr>
      <w:rPr>
        <w:rFonts w:hint="eastAsia" w:ascii="黑体" w:hAnsi="Times New Roman" w:eastAsia="黑体"/>
        <w:b w:val="0"/>
        <w:i w:val="0"/>
        <w:sz w:val="21"/>
      </w:rPr>
    </w:lvl>
    <w:lvl w:ilvl="6" w:tentative="1">
      <w:start w:val="1"/>
      <w:numFmt w:val="decimal"/>
      <w:suff w:val="nothing"/>
      <w:lvlText w:val="%1%2.%3.%4.%5.%6.%7　"/>
      <w:lvlJc w:val="left"/>
      <w:pPr>
        <w:ind w:left="0" w:firstLine="0"/>
      </w:pPr>
      <w:rPr>
        <w:rFonts w:hint="eastAsia" w:ascii="黑体" w:hAnsi="Times New Roman" w:eastAsia="黑体"/>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126943917">
    <w:nsid w:val="079102AD"/>
    <w:multiLevelType w:val="multilevel"/>
    <w:tmpl w:val="079102AD"/>
    <w:lvl w:ilvl="0" w:tentative="1">
      <w:start w:val="1"/>
      <w:numFmt w:val="decimal"/>
      <w:pStyle w:val="102"/>
      <w:suff w:val="nothing"/>
      <w:lvlText w:val="注%1："/>
      <w:lvlJc w:val="left"/>
      <w:pPr>
        <w:ind w:left="811" w:hanging="448"/>
      </w:pPr>
      <w:rPr>
        <w:rFonts w:hint="eastAsia" w:ascii="黑体" w:eastAsia="黑体"/>
        <w:b w:val="0"/>
        <w:i w:val="0"/>
        <w:sz w:val="18"/>
        <w:lang w:val="en-US"/>
      </w:rPr>
    </w:lvl>
    <w:lvl w:ilvl="1" w:tentative="1">
      <w:start w:val="1"/>
      <w:numFmt w:val="lowerLetter"/>
      <w:lvlText w:val="%2)"/>
      <w:lvlJc w:val="left"/>
      <w:pPr>
        <w:tabs>
          <w:tab w:val="left" w:pos="0"/>
        </w:tabs>
        <w:ind w:left="992" w:hanging="629"/>
      </w:pPr>
      <w:rPr>
        <w:rFonts w:hint="eastAsia"/>
      </w:rPr>
    </w:lvl>
    <w:lvl w:ilvl="2" w:tentative="1">
      <w:start w:val="1"/>
      <w:numFmt w:val="lowerRoman"/>
      <w:lvlText w:val="%3."/>
      <w:lvlJc w:val="right"/>
      <w:pPr>
        <w:tabs>
          <w:tab w:val="left" w:pos="0"/>
        </w:tabs>
        <w:ind w:left="992" w:hanging="629"/>
      </w:pPr>
      <w:rPr>
        <w:rFonts w:hint="eastAsia"/>
      </w:rPr>
    </w:lvl>
    <w:lvl w:ilvl="3" w:tentative="1">
      <w:start w:val="1"/>
      <w:numFmt w:val="decimal"/>
      <w:lvlText w:val="%4."/>
      <w:lvlJc w:val="left"/>
      <w:pPr>
        <w:tabs>
          <w:tab w:val="left" w:pos="0"/>
        </w:tabs>
        <w:ind w:left="992" w:hanging="629"/>
      </w:pPr>
      <w:rPr>
        <w:rFonts w:hint="eastAsia"/>
      </w:rPr>
    </w:lvl>
    <w:lvl w:ilvl="4" w:tentative="1">
      <w:start w:val="1"/>
      <w:numFmt w:val="lowerLetter"/>
      <w:lvlText w:val="%5)"/>
      <w:lvlJc w:val="left"/>
      <w:pPr>
        <w:tabs>
          <w:tab w:val="left" w:pos="0"/>
        </w:tabs>
        <w:ind w:left="992" w:hanging="629"/>
      </w:pPr>
      <w:rPr>
        <w:rFonts w:hint="eastAsia"/>
      </w:rPr>
    </w:lvl>
    <w:lvl w:ilvl="5" w:tentative="1">
      <w:start w:val="1"/>
      <w:numFmt w:val="lowerRoman"/>
      <w:lvlText w:val="%6."/>
      <w:lvlJc w:val="right"/>
      <w:pPr>
        <w:tabs>
          <w:tab w:val="left" w:pos="0"/>
        </w:tabs>
        <w:ind w:left="992" w:hanging="629"/>
      </w:pPr>
      <w:rPr>
        <w:rFonts w:hint="eastAsia"/>
      </w:rPr>
    </w:lvl>
    <w:lvl w:ilvl="6" w:tentative="1">
      <w:start w:val="1"/>
      <w:numFmt w:val="decimal"/>
      <w:lvlText w:val="%7."/>
      <w:lvlJc w:val="left"/>
      <w:pPr>
        <w:tabs>
          <w:tab w:val="left" w:pos="0"/>
        </w:tabs>
        <w:ind w:left="992" w:hanging="629"/>
      </w:pPr>
      <w:rPr>
        <w:rFonts w:hint="eastAsia"/>
      </w:rPr>
    </w:lvl>
    <w:lvl w:ilvl="7" w:tentative="1">
      <w:start w:val="1"/>
      <w:numFmt w:val="lowerLetter"/>
      <w:lvlText w:val="%8)"/>
      <w:lvlJc w:val="left"/>
      <w:pPr>
        <w:tabs>
          <w:tab w:val="left" w:pos="0"/>
        </w:tabs>
        <w:ind w:left="992" w:hanging="629"/>
      </w:pPr>
      <w:rPr>
        <w:rFonts w:hint="eastAsia"/>
      </w:rPr>
    </w:lvl>
    <w:lvl w:ilvl="8" w:tentative="1">
      <w:start w:val="1"/>
      <w:numFmt w:val="lowerRoman"/>
      <w:lvlText w:val="%9."/>
      <w:lvlJc w:val="right"/>
      <w:pPr>
        <w:tabs>
          <w:tab w:val="left" w:pos="0"/>
        </w:tabs>
        <w:ind w:left="992" w:hanging="629"/>
      </w:pPr>
      <w:rPr>
        <w:rFonts w:hint="eastAsia"/>
      </w:rPr>
    </w:lvl>
  </w:abstractNum>
  <w:abstractNum w:abstractNumId="228079684">
    <w:nsid w:val="0D983844"/>
    <w:multiLevelType w:val="multilevel"/>
    <w:tmpl w:val="0D983844"/>
    <w:lvl w:ilvl="0" w:tentative="1">
      <w:start w:val="1"/>
      <w:numFmt w:val="decimal"/>
      <w:pStyle w:val="112"/>
      <w:suff w:val="nothing"/>
      <w:lvlText w:val="图%1　"/>
      <w:lvlJc w:val="left"/>
      <w:pPr>
        <w:ind w:left="0" w:firstLine="0"/>
      </w:pPr>
      <w:rPr>
        <w:rFonts w:hint="eastAsia" w:ascii="黑体" w:hAnsi="Times New Roman" w:eastAsia="黑体"/>
        <w:b w:val="0"/>
        <w:i w:val="0"/>
        <w:sz w:val="21"/>
      </w:rPr>
    </w:lvl>
    <w:lvl w:ilvl="1" w:tentative="1">
      <w:start w:val="1"/>
      <w:numFmt w:val="decimal"/>
      <w:suff w:val="nothing"/>
      <w:lvlText w:val="%1%2　"/>
      <w:lvlJc w:val="left"/>
      <w:pPr>
        <w:ind w:left="0" w:firstLine="0"/>
      </w:pPr>
      <w:rPr>
        <w:rFonts w:hint="default" w:ascii="Times New Roman" w:hAnsi="Times New Roman" w:eastAsia="黑体"/>
        <w:b w:val="0"/>
        <w:i w:val="0"/>
        <w:sz w:val="21"/>
      </w:rPr>
    </w:lvl>
    <w:lvl w:ilvl="2" w:tentative="1">
      <w:start w:val="1"/>
      <w:numFmt w:val="decimal"/>
      <w:suff w:val="nothing"/>
      <w:lvlText w:val="%1%2.%3　"/>
      <w:lvlJc w:val="left"/>
      <w:pPr>
        <w:ind w:left="0" w:firstLine="0"/>
      </w:pPr>
      <w:rPr>
        <w:rFonts w:hint="default" w:ascii="Times New Roman" w:hAnsi="Times New Roman" w:eastAsia="黑体"/>
        <w:b w:val="0"/>
        <w:i w:val="0"/>
        <w:sz w:val="21"/>
      </w:rPr>
    </w:lvl>
    <w:lvl w:ilvl="3" w:tentative="1">
      <w:start w:val="1"/>
      <w:numFmt w:val="decimal"/>
      <w:suff w:val="nothing"/>
      <w:lvlText w:val="%1%2.%3.%4　"/>
      <w:lvlJc w:val="left"/>
      <w:pPr>
        <w:ind w:left="0" w:firstLine="0"/>
      </w:pPr>
      <w:rPr>
        <w:rFonts w:hint="default" w:ascii="Times New Roman" w:hAnsi="Times New Roman" w:eastAsia="黑体"/>
        <w:b w:val="0"/>
        <w:i w:val="0"/>
        <w:sz w:val="21"/>
      </w:rPr>
    </w:lvl>
    <w:lvl w:ilvl="4" w:tentative="1">
      <w:start w:val="1"/>
      <w:numFmt w:val="decimal"/>
      <w:suff w:val="nothing"/>
      <w:lvlText w:val="%1%2.%3.%4.%5　"/>
      <w:lvlJc w:val="left"/>
      <w:pPr>
        <w:ind w:left="0" w:firstLine="0"/>
      </w:pPr>
      <w:rPr>
        <w:rFonts w:hint="default" w:ascii="Times New Roman" w:hAnsi="Times New Roman" w:eastAsia="黑体"/>
        <w:b w:val="0"/>
        <w:i w:val="0"/>
        <w:sz w:val="21"/>
      </w:rPr>
    </w:lvl>
    <w:lvl w:ilvl="5" w:tentative="1">
      <w:start w:val="1"/>
      <w:numFmt w:val="decimal"/>
      <w:suff w:val="nothing"/>
      <w:lvlText w:val="%1%2.%3.%4.%5.%6　"/>
      <w:lvlJc w:val="left"/>
      <w:pPr>
        <w:ind w:left="0" w:firstLine="0"/>
      </w:pPr>
      <w:rPr>
        <w:rFonts w:hint="default" w:ascii="Times New Roman" w:hAnsi="Times New Roman" w:eastAsia="黑体"/>
        <w:b w:val="0"/>
        <w:i w:val="0"/>
        <w:sz w:val="21"/>
      </w:rPr>
    </w:lvl>
    <w:lvl w:ilvl="6" w:tentative="1">
      <w:start w:val="1"/>
      <w:numFmt w:val="decimal"/>
      <w:suff w:val="nothing"/>
      <w:lvlText w:val="%1%2.%3.%4.%5.%6.%7　"/>
      <w:lvlJc w:val="left"/>
      <w:pPr>
        <w:ind w:left="0" w:firstLine="0"/>
      </w:pPr>
      <w:rPr>
        <w:rFonts w:hint="default" w:ascii="Times New Roman" w:hAnsi="Times New Roman" w:eastAsia="黑体"/>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499079226">
    <w:nsid w:val="1DBF583A"/>
    <w:multiLevelType w:val="multilevel"/>
    <w:tmpl w:val="1DBF583A"/>
    <w:lvl w:ilvl="0" w:tentative="1">
      <w:start w:val="1"/>
      <w:numFmt w:val="decimal"/>
      <w:pStyle w:val="85"/>
      <w:suff w:val="nothing"/>
      <w:lvlText w:val="注%1："/>
      <w:lvlJc w:val="left"/>
      <w:pPr>
        <w:ind w:left="811" w:hanging="448"/>
      </w:pPr>
      <w:rPr>
        <w:rFonts w:hint="eastAsia" w:ascii="黑体" w:eastAsia="黑体"/>
        <w:b w:val="0"/>
        <w:i w:val="0"/>
        <w:sz w:val="18"/>
        <w:szCs w:val="18"/>
      </w:rPr>
    </w:lvl>
    <w:lvl w:ilvl="1" w:tentative="1">
      <w:start w:val="1"/>
      <w:numFmt w:val="lowerLetter"/>
      <w:lvlText w:val="%2)"/>
      <w:lvlJc w:val="left"/>
      <w:pPr>
        <w:tabs>
          <w:tab w:val="left" w:pos="180"/>
        </w:tabs>
        <w:ind w:left="1172" w:hanging="629"/>
      </w:pPr>
      <w:rPr>
        <w:rFonts w:hint="eastAsia"/>
      </w:rPr>
    </w:lvl>
    <w:lvl w:ilvl="2" w:tentative="1">
      <w:start w:val="1"/>
      <w:numFmt w:val="lowerRoman"/>
      <w:lvlText w:val="%3."/>
      <w:lvlJc w:val="right"/>
      <w:pPr>
        <w:tabs>
          <w:tab w:val="left" w:pos="180"/>
        </w:tabs>
        <w:ind w:left="1172" w:hanging="629"/>
      </w:pPr>
      <w:rPr>
        <w:rFonts w:hint="eastAsia"/>
      </w:rPr>
    </w:lvl>
    <w:lvl w:ilvl="3" w:tentative="1">
      <w:start w:val="1"/>
      <w:numFmt w:val="decimal"/>
      <w:lvlText w:val="%4."/>
      <w:lvlJc w:val="left"/>
      <w:pPr>
        <w:tabs>
          <w:tab w:val="left" w:pos="180"/>
        </w:tabs>
        <w:ind w:left="1172" w:hanging="629"/>
      </w:pPr>
      <w:rPr>
        <w:rFonts w:hint="eastAsia"/>
      </w:rPr>
    </w:lvl>
    <w:lvl w:ilvl="4" w:tentative="1">
      <w:start w:val="1"/>
      <w:numFmt w:val="lowerLetter"/>
      <w:lvlText w:val="%5)"/>
      <w:lvlJc w:val="left"/>
      <w:pPr>
        <w:tabs>
          <w:tab w:val="left" w:pos="180"/>
        </w:tabs>
        <w:ind w:left="1172" w:hanging="629"/>
      </w:pPr>
      <w:rPr>
        <w:rFonts w:hint="eastAsia"/>
      </w:rPr>
    </w:lvl>
    <w:lvl w:ilvl="5" w:tentative="1">
      <w:start w:val="1"/>
      <w:numFmt w:val="lowerRoman"/>
      <w:lvlText w:val="%6."/>
      <w:lvlJc w:val="right"/>
      <w:pPr>
        <w:tabs>
          <w:tab w:val="left" w:pos="180"/>
        </w:tabs>
        <w:ind w:left="1172" w:hanging="629"/>
      </w:pPr>
      <w:rPr>
        <w:rFonts w:hint="eastAsia"/>
      </w:rPr>
    </w:lvl>
    <w:lvl w:ilvl="6" w:tentative="1">
      <w:start w:val="1"/>
      <w:numFmt w:val="decimal"/>
      <w:lvlText w:val="%7."/>
      <w:lvlJc w:val="left"/>
      <w:pPr>
        <w:tabs>
          <w:tab w:val="left" w:pos="180"/>
        </w:tabs>
        <w:ind w:left="1172" w:hanging="629"/>
      </w:pPr>
      <w:rPr>
        <w:rFonts w:hint="eastAsia"/>
      </w:rPr>
    </w:lvl>
    <w:lvl w:ilvl="7" w:tentative="1">
      <w:start w:val="1"/>
      <w:numFmt w:val="lowerLetter"/>
      <w:lvlText w:val="%8)"/>
      <w:lvlJc w:val="left"/>
      <w:pPr>
        <w:tabs>
          <w:tab w:val="left" w:pos="180"/>
        </w:tabs>
        <w:ind w:left="1172" w:hanging="629"/>
      </w:pPr>
      <w:rPr>
        <w:rFonts w:hint="eastAsia"/>
      </w:rPr>
    </w:lvl>
    <w:lvl w:ilvl="8" w:tentative="1">
      <w:start w:val="1"/>
      <w:numFmt w:val="lowerRoman"/>
      <w:lvlText w:val="%9."/>
      <w:lvlJc w:val="right"/>
      <w:pPr>
        <w:tabs>
          <w:tab w:val="left" w:pos="180"/>
        </w:tabs>
        <w:ind w:left="1172" w:hanging="629"/>
      </w:pPr>
      <w:rPr>
        <w:rFonts w:hint="eastAsia"/>
      </w:rPr>
    </w:lvl>
  </w:abstractNum>
  <w:abstractNum w:abstractNumId="58791731">
    <w:nsid w:val="03811733"/>
    <w:multiLevelType w:val="multilevel"/>
    <w:tmpl w:val="03811733"/>
    <w:lvl w:ilvl="0" w:tentative="1">
      <w:start w:val="1"/>
      <w:numFmt w:val="lowerLetter"/>
      <w:lvlText w:val="%1)"/>
      <w:lvlJc w:val="left"/>
      <w:pPr>
        <w:ind w:left="900" w:hanging="420"/>
      </w:pPr>
      <w:rPr>
        <w:rFonts w:hint="eastAsia"/>
      </w:r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269624135">
    <w:nsid w:val="10122347"/>
    <w:multiLevelType w:val="multilevel"/>
    <w:tmpl w:val="10122347"/>
    <w:lvl w:ilvl="0" w:tentative="1">
      <w:start w:val="1"/>
      <w:numFmt w:val="lowerLetter"/>
      <w:lvlText w:val="%1)"/>
      <w:lvlJc w:val="left"/>
      <w:pPr>
        <w:ind w:left="900" w:hanging="420"/>
      </w:pPr>
      <w:rPr>
        <w:rFonts w:hint="eastAsia"/>
      </w:r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402220054">
    <w:nsid w:val="17F96416"/>
    <w:multiLevelType w:val="multilevel"/>
    <w:tmpl w:val="17F96416"/>
    <w:lvl w:ilvl="0" w:tentative="1">
      <w:start w:val="1"/>
      <w:numFmt w:val="lowerLetter"/>
      <w:lvlText w:val="%1)"/>
      <w:lvlJc w:val="left"/>
      <w:pPr>
        <w:ind w:left="900" w:hanging="420"/>
      </w:pPr>
      <w:rPr>
        <w:rFonts w:hint="eastAsia"/>
      </w:r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182675433">
    <w:nsid w:val="0AE367E9"/>
    <w:multiLevelType w:val="multilevel"/>
    <w:tmpl w:val="0AE367E9"/>
    <w:lvl w:ilvl="0" w:tentative="1">
      <w:start w:val="1"/>
      <w:numFmt w:val="none"/>
      <w:pStyle w:val="89"/>
      <w:suff w:val="nothing"/>
      <w:lvlText w:val="%1示例："/>
      <w:lvlJc w:val="left"/>
      <w:pPr>
        <w:ind w:left="0" w:firstLine="363"/>
      </w:pPr>
      <w:rPr>
        <w:rFonts w:hint="eastAsia" w:ascii="黑体" w:eastAsia="黑体"/>
        <w:b w:val="0"/>
        <w:i w:val="0"/>
        <w:sz w:val="18"/>
        <w:szCs w:val="18"/>
      </w:rPr>
    </w:lvl>
    <w:lvl w:ilvl="1" w:tentative="1">
      <w:start w:val="1"/>
      <w:numFmt w:val="lowerLetter"/>
      <w:lvlText w:val="%2)"/>
      <w:lvlJc w:val="left"/>
      <w:pPr>
        <w:tabs>
          <w:tab w:val="left" w:pos="363"/>
        </w:tabs>
        <w:ind w:left="0" w:firstLine="363"/>
      </w:pPr>
      <w:rPr>
        <w:rFonts w:hint="eastAsia"/>
      </w:rPr>
    </w:lvl>
    <w:lvl w:ilvl="2" w:tentative="1">
      <w:start w:val="1"/>
      <w:numFmt w:val="lowerRoman"/>
      <w:lvlText w:val="%3."/>
      <w:lvlJc w:val="right"/>
      <w:pPr>
        <w:tabs>
          <w:tab w:val="left" w:pos="363"/>
        </w:tabs>
        <w:ind w:left="0" w:firstLine="363"/>
      </w:pPr>
      <w:rPr>
        <w:rFonts w:hint="eastAsia"/>
      </w:rPr>
    </w:lvl>
    <w:lvl w:ilvl="3" w:tentative="1">
      <w:start w:val="1"/>
      <w:numFmt w:val="decimal"/>
      <w:lvlText w:val="%4."/>
      <w:lvlJc w:val="left"/>
      <w:pPr>
        <w:tabs>
          <w:tab w:val="left" w:pos="363"/>
        </w:tabs>
        <w:ind w:left="0" w:firstLine="363"/>
      </w:pPr>
      <w:rPr>
        <w:rFonts w:hint="eastAsia"/>
      </w:rPr>
    </w:lvl>
    <w:lvl w:ilvl="4" w:tentative="1">
      <w:start w:val="1"/>
      <w:numFmt w:val="lowerLetter"/>
      <w:lvlText w:val="%5)"/>
      <w:lvlJc w:val="left"/>
      <w:pPr>
        <w:tabs>
          <w:tab w:val="left" w:pos="363"/>
        </w:tabs>
        <w:ind w:left="0" w:firstLine="363"/>
      </w:pPr>
      <w:rPr>
        <w:rFonts w:hint="eastAsia"/>
      </w:rPr>
    </w:lvl>
    <w:lvl w:ilvl="5" w:tentative="1">
      <w:start w:val="1"/>
      <w:numFmt w:val="lowerRoman"/>
      <w:lvlText w:val="%6."/>
      <w:lvlJc w:val="right"/>
      <w:pPr>
        <w:tabs>
          <w:tab w:val="left" w:pos="363"/>
        </w:tabs>
        <w:ind w:left="0" w:firstLine="363"/>
      </w:pPr>
      <w:rPr>
        <w:rFonts w:hint="eastAsia"/>
      </w:rPr>
    </w:lvl>
    <w:lvl w:ilvl="6" w:tentative="1">
      <w:start w:val="1"/>
      <w:numFmt w:val="decimal"/>
      <w:lvlText w:val="%7."/>
      <w:lvlJc w:val="left"/>
      <w:pPr>
        <w:tabs>
          <w:tab w:val="left" w:pos="363"/>
        </w:tabs>
        <w:ind w:left="0" w:firstLine="363"/>
      </w:pPr>
      <w:rPr>
        <w:rFonts w:hint="eastAsia"/>
      </w:rPr>
    </w:lvl>
    <w:lvl w:ilvl="7" w:tentative="1">
      <w:start w:val="1"/>
      <w:numFmt w:val="lowerLetter"/>
      <w:lvlText w:val="%8)"/>
      <w:lvlJc w:val="left"/>
      <w:pPr>
        <w:tabs>
          <w:tab w:val="left" w:pos="363"/>
        </w:tabs>
        <w:ind w:left="0" w:firstLine="363"/>
      </w:pPr>
      <w:rPr>
        <w:rFonts w:hint="eastAsia"/>
      </w:rPr>
    </w:lvl>
    <w:lvl w:ilvl="8" w:tentative="1">
      <w:start w:val="1"/>
      <w:numFmt w:val="lowerRoman"/>
      <w:lvlText w:val="%9."/>
      <w:lvlJc w:val="right"/>
      <w:pPr>
        <w:tabs>
          <w:tab w:val="left" w:pos="363"/>
        </w:tabs>
        <w:ind w:left="0" w:firstLine="363"/>
      </w:pPr>
      <w:rPr>
        <w:rFonts w:hint="eastAsia"/>
      </w:rPr>
    </w:lvl>
  </w:abstractNum>
  <w:abstractNum w:abstractNumId="578977115">
    <w:nsid w:val="22827D5B"/>
    <w:multiLevelType w:val="multilevel"/>
    <w:tmpl w:val="22827D5B"/>
    <w:lvl w:ilvl="0" w:tentative="1">
      <w:start w:val="1"/>
      <w:numFmt w:val="none"/>
      <w:pStyle w:val="106"/>
      <w:suff w:val="nothing"/>
      <w:lvlText w:val="%1注："/>
      <w:lvlJc w:val="left"/>
      <w:pPr>
        <w:ind w:left="726" w:hanging="363"/>
      </w:pPr>
      <w:rPr>
        <w:rFonts w:hint="eastAsia" w:ascii="黑体" w:hAnsi="Times New Roman" w:eastAsia="黑体"/>
        <w:b w:val="0"/>
        <w:i w:val="0"/>
        <w:sz w:val="18"/>
      </w:rPr>
    </w:lvl>
    <w:lvl w:ilvl="1" w:tentative="1">
      <w:start w:val="1"/>
      <w:numFmt w:val="lowerLetter"/>
      <w:lvlText w:val="%2)"/>
      <w:lvlJc w:val="left"/>
      <w:pPr>
        <w:tabs>
          <w:tab w:val="left" w:pos="1140"/>
        </w:tabs>
        <w:ind w:left="726" w:hanging="363"/>
      </w:pPr>
      <w:rPr>
        <w:rFonts w:hint="eastAsia"/>
      </w:rPr>
    </w:lvl>
    <w:lvl w:ilvl="2" w:tentative="1">
      <w:start w:val="1"/>
      <w:numFmt w:val="lowerRoman"/>
      <w:lvlText w:val="%3."/>
      <w:lvlJc w:val="right"/>
      <w:pPr>
        <w:tabs>
          <w:tab w:val="left" w:pos="1140"/>
        </w:tabs>
        <w:ind w:left="726" w:hanging="363"/>
      </w:pPr>
      <w:rPr>
        <w:rFonts w:hint="eastAsia"/>
      </w:rPr>
    </w:lvl>
    <w:lvl w:ilvl="3" w:tentative="1">
      <w:start w:val="1"/>
      <w:numFmt w:val="decimal"/>
      <w:lvlText w:val="%4."/>
      <w:lvlJc w:val="left"/>
      <w:pPr>
        <w:tabs>
          <w:tab w:val="left" w:pos="1140"/>
        </w:tabs>
        <w:ind w:left="726" w:hanging="363"/>
      </w:pPr>
      <w:rPr>
        <w:rFonts w:hint="eastAsia"/>
      </w:rPr>
    </w:lvl>
    <w:lvl w:ilvl="4" w:tentative="1">
      <w:start w:val="1"/>
      <w:numFmt w:val="lowerLetter"/>
      <w:lvlText w:val="%5)"/>
      <w:lvlJc w:val="left"/>
      <w:pPr>
        <w:tabs>
          <w:tab w:val="left" w:pos="1140"/>
        </w:tabs>
        <w:ind w:left="726" w:hanging="363"/>
      </w:pPr>
      <w:rPr>
        <w:rFonts w:hint="eastAsia"/>
      </w:rPr>
    </w:lvl>
    <w:lvl w:ilvl="5" w:tentative="1">
      <w:start w:val="1"/>
      <w:numFmt w:val="lowerRoman"/>
      <w:lvlText w:val="%6."/>
      <w:lvlJc w:val="right"/>
      <w:pPr>
        <w:tabs>
          <w:tab w:val="left" w:pos="1140"/>
        </w:tabs>
        <w:ind w:left="726" w:hanging="363"/>
      </w:pPr>
      <w:rPr>
        <w:rFonts w:hint="eastAsia"/>
      </w:rPr>
    </w:lvl>
    <w:lvl w:ilvl="6" w:tentative="1">
      <w:start w:val="1"/>
      <w:numFmt w:val="decimal"/>
      <w:lvlText w:val="%7."/>
      <w:lvlJc w:val="left"/>
      <w:pPr>
        <w:tabs>
          <w:tab w:val="left" w:pos="1140"/>
        </w:tabs>
        <w:ind w:left="726" w:hanging="363"/>
      </w:pPr>
      <w:rPr>
        <w:rFonts w:hint="eastAsia"/>
      </w:rPr>
    </w:lvl>
    <w:lvl w:ilvl="7" w:tentative="1">
      <w:start w:val="1"/>
      <w:numFmt w:val="lowerLetter"/>
      <w:lvlText w:val="%8)"/>
      <w:lvlJc w:val="left"/>
      <w:pPr>
        <w:tabs>
          <w:tab w:val="left" w:pos="1140"/>
        </w:tabs>
        <w:ind w:left="726" w:hanging="363"/>
      </w:pPr>
      <w:rPr>
        <w:rFonts w:hint="eastAsia"/>
      </w:rPr>
    </w:lvl>
    <w:lvl w:ilvl="8" w:tentative="1">
      <w:start w:val="1"/>
      <w:numFmt w:val="lowerRoman"/>
      <w:lvlText w:val="%9."/>
      <w:lvlJc w:val="right"/>
      <w:pPr>
        <w:tabs>
          <w:tab w:val="left" w:pos="1140"/>
        </w:tabs>
        <w:ind w:left="726" w:hanging="363"/>
      </w:pPr>
      <w:rPr>
        <w:rFonts w:hint="eastAsia"/>
      </w:rPr>
    </w:lvl>
  </w:abstractNum>
  <w:abstractNum w:abstractNumId="714043667">
    <w:nsid w:val="2A8F7113"/>
    <w:multiLevelType w:val="multilevel"/>
    <w:tmpl w:val="2A8F7113"/>
    <w:lvl w:ilvl="0" w:tentative="1">
      <w:start w:val="1"/>
      <w:numFmt w:val="upperLetter"/>
      <w:pStyle w:val="58"/>
      <w:suff w:val="space"/>
      <w:lvlText w:val="%1"/>
      <w:lvlJc w:val="left"/>
      <w:pPr>
        <w:ind w:left="623" w:hanging="425"/>
      </w:pPr>
      <w:rPr>
        <w:rFonts w:hint="eastAsia"/>
      </w:rPr>
    </w:lvl>
    <w:lvl w:ilvl="1" w:tentative="1">
      <w:start w:val="1"/>
      <w:numFmt w:val="decimal"/>
      <w:pStyle w:val="119"/>
      <w:suff w:val="nothing"/>
      <w:lvlText w:val="图%1.%2　"/>
      <w:lvlJc w:val="left"/>
      <w:pPr>
        <w:ind w:left="1190" w:hanging="567"/>
      </w:pPr>
      <w:rPr>
        <w:rFonts w:hint="eastAsia"/>
      </w:rPr>
    </w:lvl>
    <w:lvl w:ilvl="2" w:tentative="1">
      <w:start w:val="1"/>
      <w:numFmt w:val="decimal"/>
      <w:lvlText w:val="%1.%2.%3"/>
      <w:lvlJc w:val="left"/>
      <w:pPr>
        <w:tabs>
          <w:tab w:val="left" w:pos="1616"/>
        </w:tabs>
        <w:ind w:left="1616" w:hanging="567"/>
      </w:pPr>
      <w:rPr>
        <w:rFonts w:hint="eastAsia"/>
      </w:rPr>
    </w:lvl>
    <w:lvl w:ilvl="3" w:tentative="1">
      <w:start w:val="1"/>
      <w:numFmt w:val="decimal"/>
      <w:lvlText w:val="%1.%2.%3.%4"/>
      <w:lvlJc w:val="left"/>
      <w:pPr>
        <w:tabs>
          <w:tab w:val="left" w:pos="2914"/>
        </w:tabs>
        <w:ind w:left="2182" w:hanging="708"/>
      </w:pPr>
      <w:rPr>
        <w:rFonts w:hint="eastAsia"/>
      </w:rPr>
    </w:lvl>
    <w:lvl w:ilvl="4" w:tentative="1">
      <w:start w:val="1"/>
      <w:numFmt w:val="decimal"/>
      <w:lvlText w:val="%1.%2.%3.%4.%5"/>
      <w:lvlJc w:val="left"/>
      <w:pPr>
        <w:tabs>
          <w:tab w:val="left" w:pos="3699"/>
        </w:tabs>
        <w:ind w:left="2749" w:hanging="850"/>
      </w:pPr>
      <w:rPr>
        <w:rFonts w:hint="eastAsia"/>
      </w:rPr>
    </w:lvl>
    <w:lvl w:ilvl="5" w:tentative="1">
      <w:start w:val="1"/>
      <w:numFmt w:val="decimal"/>
      <w:lvlText w:val="%1.%2.%3.%4.%5.%6"/>
      <w:lvlJc w:val="left"/>
      <w:pPr>
        <w:tabs>
          <w:tab w:val="left" w:pos="4484"/>
        </w:tabs>
        <w:ind w:left="3458" w:hanging="1134"/>
      </w:pPr>
      <w:rPr>
        <w:rFonts w:hint="eastAsia"/>
      </w:rPr>
    </w:lvl>
    <w:lvl w:ilvl="6" w:tentative="1">
      <w:start w:val="1"/>
      <w:numFmt w:val="decimal"/>
      <w:lvlText w:val="%1.%2.%3.%4.%5.%6.%7"/>
      <w:lvlJc w:val="left"/>
      <w:pPr>
        <w:tabs>
          <w:tab w:val="left" w:pos="5269"/>
        </w:tabs>
        <w:ind w:left="4025" w:hanging="1276"/>
      </w:pPr>
      <w:rPr>
        <w:rFonts w:hint="eastAsia"/>
      </w:rPr>
    </w:lvl>
    <w:lvl w:ilvl="7" w:tentative="1">
      <w:start w:val="1"/>
      <w:numFmt w:val="decimal"/>
      <w:lvlText w:val="%1.%2.%3.%4.%5.%6.%7.%8"/>
      <w:lvlJc w:val="left"/>
      <w:pPr>
        <w:tabs>
          <w:tab w:val="left" w:pos="6054"/>
        </w:tabs>
        <w:ind w:left="4592" w:hanging="1418"/>
      </w:pPr>
      <w:rPr>
        <w:rFonts w:hint="eastAsia"/>
      </w:rPr>
    </w:lvl>
    <w:lvl w:ilvl="8" w:tentative="1">
      <w:start w:val="1"/>
      <w:numFmt w:val="decimal"/>
      <w:lvlText w:val="%1.%2.%3.%4.%5.%6.%7.%8.%9"/>
      <w:lvlJc w:val="left"/>
      <w:pPr>
        <w:tabs>
          <w:tab w:val="left" w:pos="6840"/>
        </w:tabs>
        <w:ind w:left="5300" w:hanging="1700"/>
      </w:pPr>
      <w:rPr>
        <w:rFonts w:hint="eastAsia"/>
      </w:rPr>
    </w:lvl>
  </w:abstractNum>
  <w:abstractNum w:abstractNumId="744036291">
    <w:nsid w:val="2C5917C3"/>
    <w:multiLevelType w:val="multilevel"/>
    <w:tmpl w:val="2C5917C3"/>
    <w:lvl w:ilvl="0" w:tentative="1">
      <w:start w:val="1"/>
      <w:numFmt w:val="none"/>
      <w:pStyle w:val="91"/>
      <w:suff w:val="nothing"/>
      <w:lvlText w:val="%1——"/>
      <w:lvlJc w:val="left"/>
      <w:pPr>
        <w:ind w:left="833" w:hanging="408"/>
      </w:pPr>
      <w:rPr>
        <w:rFonts w:hint="eastAsia"/>
      </w:rPr>
    </w:lvl>
    <w:lvl w:ilvl="1" w:tentative="1">
      <w:start w:val="1"/>
      <w:numFmt w:val="bullet"/>
      <w:pStyle w:val="97"/>
      <w:lvlText w:val=""/>
      <w:lvlJc w:val="left"/>
      <w:pPr>
        <w:tabs>
          <w:tab w:val="left" w:pos="760"/>
        </w:tabs>
        <w:ind w:left="1264" w:hanging="413"/>
      </w:pPr>
      <w:rPr>
        <w:rFonts w:hint="default" w:ascii="Symbol" w:hAnsi="Symbol"/>
        <w:color w:val="auto"/>
      </w:rPr>
    </w:lvl>
    <w:lvl w:ilvl="2" w:tentative="1">
      <w:start w:val="1"/>
      <w:numFmt w:val="bullet"/>
      <w:pStyle w:val="81"/>
      <w:lvlText w:val=""/>
      <w:lvlJc w:val="left"/>
      <w:pPr>
        <w:tabs>
          <w:tab w:val="left" w:pos="1678"/>
        </w:tabs>
        <w:ind w:left="1678" w:hanging="414"/>
      </w:pPr>
      <w:rPr>
        <w:rFonts w:hint="default" w:ascii="Symbol" w:hAnsi="Symbol"/>
        <w:color w:val="auto"/>
      </w:rPr>
    </w:lvl>
    <w:lvl w:ilvl="3" w:tentative="1">
      <w:start w:val="1"/>
      <w:numFmt w:val="decimal"/>
      <w:lvlText w:val="%4."/>
      <w:lvlJc w:val="left"/>
      <w:pPr>
        <w:tabs>
          <w:tab w:val="left" w:pos="2071"/>
        </w:tabs>
        <w:ind w:left="1884" w:hanging="528"/>
      </w:pPr>
      <w:rPr>
        <w:rFonts w:hint="eastAsia"/>
      </w:rPr>
    </w:lvl>
    <w:lvl w:ilvl="4" w:tentative="1">
      <w:start w:val="1"/>
      <w:numFmt w:val="lowerLetter"/>
      <w:lvlText w:val="%5)"/>
      <w:lvlJc w:val="left"/>
      <w:pPr>
        <w:tabs>
          <w:tab w:val="left" w:pos="2383"/>
        </w:tabs>
        <w:ind w:left="2196" w:hanging="528"/>
      </w:pPr>
      <w:rPr>
        <w:rFonts w:hint="eastAsia"/>
      </w:rPr>
    </w:lvl>
    <w:lvl w:ilvl="5" w:tentative="1">
      <w:start w:val="1"/>
      <w:numFmt w:val="lowerRoman"/>
      <w:lvlText w:val="%6."/>
      <w:lvlJc w:val="right"/>
      <w:pPr>
        <w:tabs>
          <w:tab w:val="left" w:pos="2695"/>
        </w:tabs>
        <w:ind w:left="2508" w:hanging="528"/>
      </w:pPr>
      <w:rPr>
        <w:rFonts w:hint="eastAsia"/>
      </w:rPr>
    </w:lvl>
    <w:lvl w:ilvl="6" w:tentative="1">
      <w:start w:val="1"/>
      <w:numFmt w:val="decimal"/>
      <w:lvlText w:val="%7."/>
      <w:lvlJc w:val="left"/>
      <w:pPr>
        <w:tabs>
          <w:tab w:val="left" w:pos="3007"/>
        </w:tabs>
        <w:ind w:left="2820" w:hanging="528"/>
      </w:pPr>
      <w:rPr>
        <w:rFonts w:hint="eastAsia"/>
      </w:rPr>
    </w:lvl>
    <w:lvl w:ilvl="7" w:tentative="1">
      <w:start w:val="1"/>
      <w:numFmt w:val="lowerLetter"/>
      <w:lvlText w:val="%8)"/>
      <w:lvlJc w:val="left"/>
      <w:pPr>
        <w:tabs>
          <w:tab w:val="left" w:pos="3319"/>
        </w:tabs>
        <w:ind w:left="3132" w:hanging="528"/>
      </w:pPr>
      <w:rPr>
        <w:rFonts w:hint="eastAsia"/>
      </w:rPr>
    </w:lvl>
    <w:lvl w:ilvl="8" w:tentative="1">
      <w:start w:val="1"/>
      <w:numFmt w:val="lowerRoman"/>
      <w:lvlText w:val="%9."/>
      <w:lvlJc w:val="right"/>
      <w:pPr>
        <w:tabs>
          <w:tab w:val="left" w:pos="3631"/>
        </w:tabs>
        <w:ind w:left="3444" w:hanging="528"/>
      </w:pPr>
      <w:rPr>
        <w:rFonts w:hint="eastAsia"/>
      </w:rPr>
    </w:lvl>
  </w:abstractNum>
  <w:abstractNum w:abstractNumId="1030960664">
    <w:nsid w:val="3D733618"/>
    <w:multiLevelType w:val="multilevel"/>
    <w:tmpl w:val="3D733618"/>
    <w:lvl w:ilvl="0" w:tentative="1">
      <w:start w:val="1"/>
      <w:numFmt w:val="decimal"/>
      <w:pStyle w:val="25"/>
      <w:lvlText w:val="%1)"/>
      <w:lvlJc w:val="left"/>
      <w:pPr>
        <w:tabs>
          <w:tab w:val="left" w:pos="0"/>
        </w:tabs>
        <w:ind w:left="720" w:hanging="357"/>
      </w:pPr>
      <w:rPr>
        <w:rFonts w:hint="eastAsia"/>
      </w:rPr>
    </w:lvl>
    <w:lvl w:ilvl="1" w:tentative="1">
      <w:start w:val="1"/>
      <w:numFmt w:val="lowerLetter"/>
      <w:lvlText w:val="%2)"/>
      <w:lvlJc w:val="left"/>
      <w:pPr>
        <w:tabs>
          <w:tab w:val="left" w:pos="504"/>
        </w:tabs>
        <w:ind w:left="544" w:hanging="544"/>
      </w:pPr>
      <w:rPr>
        <w:rFonts w:hint="eastAsia"/>
      </w:rPr>
    </w:lvl>
    <w:lvl w:ilvl="2" w:tentative="1">
      <w:start w:val="1"/>
      <w:numFmt w:val="lowerRoman"/>
      <w:lvlText w:val="%3."/>
      <w:lvlJc w:val="right"/>
      <w:pPr>
        <w:tabs>
          <w:tab w:val="left" w:pos="532"/>
        </w:tabs>
        <w:ind w:left="544" w:hanging="544"/>
      </w:pPr>
      <w:rPr>
        <w:rFonts w:hint="eastAsia"/>
      </w:rPr>
    </w:lvl>
    <w:lvl w:ilvl="3" w:tentative="1">
      <w:start w:val="1"/>
      <w:numFmt w:val="decimal"/>
      <w:lvlText w:val="%4."/>
      <w:lvlJc w:val="left"/>
      <w:pPr>
        <w:tabs>
          <w:tab w:val="left" w:pos="560"/>
        </w:tabs>
        <w:ind w:left="544" w:hanging="544"/>
      </w:pPr>
      <w:rPr>
        <w:rFonts w:hint="eastAsia"/>
      </w:rPr>
    </w:lvl>
    <w:lvl w:ilvl="4" w:tentative="1">
      <w:start w:val="1"/>
      <w:numFmt w:val="lowerLetter"/>
      <w:lvlText w:val="%5)"/>
      <w:lvlJc w:val="left"/>
      <w:pPr>
        <w:tabs>
          <w:tab w:val="left" w:pos="588"/>
        </w:tabs>
        <w:ind w:left="544" w:hanging="544"/>
      </w:pPr>
      <w:rPr>
        <w:rFonts w:hint="eastAsia"/>
      </w:rPr>
    </w:lvl>
    <w:lvl w:ilvl="5" w:tentative="1">
      <w:start w:val="1"/>
      <w:numFmt w:val="lowerRoman"/>
      <w:lvlText w:val="%6."/>
      <w:lvlJc w:val="right"/>
      <w:pPr>
        <w:tabs>
          <w:tab w:val="left" w:pos="616"/>
        </w:tabs>
        <w:ind w:left="544" w:hanging="544"/>
      </w:pPr>
      <w:rPr>
        <w:rFonts w:hint="eastAsia"/>
      </w:rPr>
    </w:lvl>
    <w:lvl w:ilvl="6" w:tentative="1">
      <w:start w:val="1"/>
      <w:numFmt w:val="decimal"/>
      <w:lvlText w:val="%7."/>
      <w:lvlJc w:val="left"/>
      <w:pPr>
        <w:tabs>
          <w:tab w:val="left" w:pos="644"/>
        </w:tabs>
        <w:ind w:left="544" w:hanging="544"/>
      </w:pPr>
      <w:rPr>
        <w:rFonts w:hint="eastAsia"/>
      </w:rPr>
    </w:lvl>
    <w:lvl w:ilvl="7" w:tentative="1">
      <w:start w:val="1"/>
      <w:numFmt w:val="lowerLetter"/>
      <w:lvlText w:val="%8)"/>
      <w:lvlJc w:val="left"/>
      <w:pPr>
        <w:tabs>
          <w:tab w:val="left" w:pos="672"/>
        </w:tabs>
        <w:ind w:left="544" w:hanging="544"/>
      </w:pPr>
      <w:rPr>
        <w:rFonts w:hint="eastAsia"/>
      </w:rPr>
    </w:lvl>
    <w:lvl w:ilvl="8" w:tentative="1">
      <w:start w:val="1"/>
      <w:numFmt w:val="lowerRoman"/>
      <w:lvlText w:val="%9."/>
      <w:lvlJc w:val="right"/>
      <w:pPr>
        <w:tabs>
          <w:tab w:val="left" w:pos="700"/>
        </w:tabs>
        <w:ind w:left="544" w:hanging="544"/>
      </w:pPr>
      <w:rPr>
        <w:rFonts w:hint="eastAsia"/>
      </w:rPr>
    </w:lvl>
  </w:abstractNum>
  <w:abstractNum w:abstractNumId="1153765264">
    <w:nsid w:val="44C50F90"/>
    <w:multiLevelType w:val="multilevel"/>
    <w:tmpl w:val="44C50F90"/>
    <w:lvl w:ilvl="0" w:tentative="1">
      <w:start w:val="1"/>
      <w:numFmt w:val="lowerLetter"/>
      <w:pStyle w:val="101"/>
      <w:lvlText w:val="%1)"/>
      <w:lvlJc w:val="left"/>
      <w:pPr>
        <w:tabs>
          <w:tab w:val="left" w:pos="840"/>
        </w:tabs>
        <w:ind w:left="839" w:hanging="419"/>
      </w:pPr>
      <w:rPr>
        <w:rFonts w:hint="eastAsia" w:ascii="宋体" w:eastAsia="宋体"/>
        <w:b w:val="0"/>
        <w:i w:val="0"/>
        <w:sz w:val="21"/>
        <w:szCs w:val="21"/>
      </w:rPr>
    </w:lvl>
    <w:lvl w:ilvl="1" w:tentative="1">
      <w:start w:val="1"/>
      <w:numFmt w:val="decimal"/>
      <w:pStyle w:val="100"/>
      <w:lvlText w:val="%2)"/>
      <w:lvlJc w:val="left"/>
      <w:pPr>
        <w:tabs>
          <w:tab w:val="left" w:pos="1260"/>
        </w:tabs>
        <w:ind w:left="1259" w:hanging="419"/>
      </w:pPr>
      <w:rPr>
        <w:rFonts w:hint="eastAsia"/>
      </w:rPr>
    </w:lvl>
    <w:lvl w:ilvl="2" w:tentative="1">
      <w:start w:val="1"/>
      <w:numFmt w:val="decimal"/>
      <w:lvlText w:val="(%3)"/>
      <w:lvlJc w:val="left"/>
      <w:pPr>
        <w:tabs>
          <w:tab w:val="left" w:pos="0"/>
        </w:tabs>
        <w:ind w:left="1679" w:hanging="420"/>
      </w:pPr>
      <w:rPr>
        <w:rFonts w:hint="eastAsia" w:ascii="宋体" w:eastAsia="宋体"/>
        <w:b w:val="0"/>
        <w:i w:val="0"/>
        <w:sz w:val="21"/>
        <w:szCs w:val="21"/>
      </w:rPr>
    </w:lvl>
    <w:lvl w:ilvl="3" w:tentative="1">
      <w:start w:val="1"/>
      <w:numFmt w:val="decimal"/>
      <w:lvlText w:val="%4."/>
      <w:lvlJc w:val="left"/>
      <w:pPr>
        <w:tabs>
          <w:tab w:val="left" w:pos="2100"/>
        </w:tabs>
        <w:ind w:left="2099" w:hanging="419"/>
      </w:pPr>
      <w:rPr>
        <w:rFonts w:hint="eastAsia"/>
      </w:rPr>
    </w:lvl>
    <w:lvl w:ilvl="4" w:tentative="1">
      <w:start w:val="1"/>
      <w:numFmt w:val="lowerLetter"/>
      <w:lvlText w:val="%5)"/>
      <w:lvlJc w:val="left"/>
      <w:pPr>
        <w:tabs>
          <w:tab w:val="left" w:pos="2520"/>
        </w:tabs>
        <w:ind w:left="2519" w:hanging="419"/>
      </w:pPr>
      <w:rPr>
        <w:rFonts w:hint="eastAsia"/>
      </w:rPr>
    </w:lvl>
    <w:lvl w:ilvl="5" w:tentative="1">
      <w:start w:val="1"/>
      <w:numFmt w:val="lowerRoman"/>
      <w:lvlText w:val="%6."/>
      <w:lvlJc w:val="right"/>
      <w:pPr>
        <w:tabs>
          <w:tab w:val="left" w:pos="2940"/>
        </w:tabs>
        <w:ind w:left="2939" w:hanging="419"/>
      </w:pPr>
      <w:rPr>
        <w:rFonts w:hint="eastAsia"/>
      </w:rPr>
    </w:lvl>
    <w:lvl w:ilvl="6" w:tentative="1">
      <w:start w:val="1"/>
      <w:numFmt w:val="decimal"/>
      <w:lvlText w:val="%7."/>
      <w:lvlJc w:val="left"/>
      <w:pPr>
        <w:tabs>
          <w:tab w:val="left" w:pos="3360"/>
        </w:tabs>
        <w:ind w:left="3359" w:hanging="419"/>
      </w:pPr>
      <w:rPr>
        <w:rFonts w:hint="eastAsia"/>
      </w:rPr>
    </w:lvl>
    <w:lvl w:ilvl="7" w:tentative="1">
      <w:start w:val="1"/>
      <w:numFmt w:val="lowerLetter"/>
      <w:lvlText w:val="%8)"/>
      <w:lvlJc w:val="left"/>
      <w:pPr>
        <w:tabs>
          <w:tab w:val="left" w:pos="3780"/>
        </w:tabs>
        <w:ind w:left="3779" w:hanging="419"/>
      </w:pPr>
      <w:rPr>
        <w:rFonts w:hint="eastAsia"/>
      </w:rPr>
    </w:lvl>
    <w:lvl w:ilvl="8" w:tentative="1">
      <w:start w:val="1"/>
      <w:numFmt w:val="lowerRoman"/>
      <w:lvlText w:val="%9."/>
      <w:lvlJc w:val="right"/>
      <w:pPr>
        <w:tabs>
          <w:tab w:val="left" w:pos="4200"/>
        </w:tabs>
        <w:ind w:left="4199" w:hanging="419"/>
      </w:pPr>
      <w:rPr>
        <w:rFonts w:hint="eastAsia"/>
      </w:rPr>
    </w:lvl>
  </w:abstractNum>
  <w:abstractNum w:abstractNumId="1265842783">
    <w:nsid w:val="4B733A5F"/>
    <w:multiLevelType w:val="multilevel"/>
    <w:tmpl w:val="4B733A5F"/>
    <w:lvl w:ilvl="0" w:tentative="1">
      <w:start w:val="1"/>
      <w:numFmt w:val="decimal"/>
      <w:pStyle w:val="92"/>
      <w:suff w:val="nothing"/>
      <w:lvlText w:val="示例%1："/>
      <w:lvlJc w:val="left"/>
      <w:pPr>
        <w:ind w:left="0" w:firstLine="363"/>
      </w:pPr>
      <w:rPr>
        <w:rFonts w:hint="eastAsia" w:ascii="黑体" w:hAnsi="Times New Roman" w:eastAsia="黑体"/>
        <w:b w:val="0"/>
        <w:i w:val="0"/>
        <w:sz w:val="18"/>
        <w:szCs w:val="18"/>
      </w:rPr>
    </w:lvl>
    <w:lvl w:ilvl="1" w:tentative="1">
      <w:start w:val="1"/>
      <w:numFmt w:val="none"/>
      <w:suff w:val="space"/>
      <w:lvlText w:val=""/>
      <w:lvlJc w:val="left"/>
      <w:pPr>
        <w:ind w:left="0" w:firstLine="0"/>
      </w:pPr>
      <w:rPr>
        <w:rFonts w:hint="eastAsia"/>
      </w:rPr>
    </w:lvl>
    <w:lvl w:ilvl="2" w:tentative="1">
      <w:start w:val="1"/>
      <w:numFmt w:val="decimal"/>
      <w:suff w:val="space"/>
      <w:lvlText w:val="2.2.%3"/>
      <w:lvlJc w:val="left"/>
      <w:pPr>
        <w:ind w:left="0" w:firstLine="0"/>
      </w:pPr>
      <w:rPr>
        <w:rFonts w:hint="eastAsia"/>
      </w:rPr>
    </w:lvl>
    <w:lvl w:ilvl="3" w:tentative="1">
      <w:start w:val="1"/>
      <w:numFmt w:val="decimal"/>
      <w:lvlText w:val="%4."/>
      <w:lvlJc w:val="left"/>
      <w:pPr>
        <w:tabs>
          <w:tab w:val="left" w:pos="0"/>
        </w:tabs>
        <w:ind w:left="992" w:hanging="629"/>
      </w:pPr>
      <w:rPr>
        <w:rFonts w:hint="eastAsia"/>
      </w:rPr>
    </w:lvl>
    <w:lvl w:ilvl="4" w:tentative="1">
      <w:start w:val="1"/>
      <w:numFmt w:val="lowerLetter"/>
      <w:lvlText w:val="%5)"/>
      <w:lvlJc w:val="left"/>
      <w:pPr>
        <w:tabs>
          <w:tab w:val="left" w:pos="0"/>
        </w:tabs>
        <w:ind w:left="992" w:hanging="629"/>
      </w:pPr>
      <w:rPr>
        <w:rFonts w:hint="eastAsia"/>
      </w:rPr>
    </w:lvl>
    <w:lvl w:ilvl="5" w:tentative="1">
      <w:start w:val="1"/>
      <w:numFmt w:val="lowerRoman"/>
      <w:lvlText w:val="%6."/>
      <w:lvlJc w:val="right"/>
      <w:pPr>
        <w:tabs>
          <w:tab w:val="left" w:pos="0"/>
        </w:tabs>
        <w:ind w:left="992" w:hanging="629"/>
      </w:pPr>
      <w:rPr>
        <w:rFonts w:hint="eastAsia"/>
      </w:rPr>
    </w:lvl>
    <w:lvl w:ilvl="6" w:tentative="1">
      <w:start w:val="1"/>
      <w:numFmt w:val="decimal"/>
      <w:lvlText w:val="%7."/>
      <w:lvlJc w:val="left"/>
      <w:pPr>
        <w:tabs>
          <w:tab w:val="left" w:pos="0"/>
        </w:tabs>
        <w:ind w:left="992" w:hanging="629"/>
      </w:pPr>
      <w:rPr>
        <w:rFonts w:hint="eastAsia"/>
      </w:rPr>
    </w:lvl>
    <w:lvl w:ilvl="7" w:tentative="1">
      <w:start w:val="1"/>
      <w:numFmt w:val="lowerLetter"/>
      <w:lvlText w:val="%8)"/>
      <w:lvlJc w:val="left"/>
      <w:pPr>
        <w:tabs>
          <w:tab w:val="left" w:pos="0"/>
        </w:tabs>
        <w:ind w:left="992" w:hanging="629"/>
      </w:pPr>
      <w:rPr>
        <w:rFonts w:hint="eastAsia"/>
      </w:rPr>
    </w:lvl>
    <w:lvl w:ilvl="8" w:tentative="1">
      <w:start w:val="1"/>
      <w:numFmt w:val="lowerRoman"/>
      <w:lvlText w:val="%9."/>
      <w:lvlJc w:val="right"/>
      <w:pPr>
        <w:tabs>
          <w:tab w:val="left" w:pos="0"/>
        </w:tabs>
        <w:ind w:left="992" w:hanging="629"/>
      </w:pPr>
      <w:rPr>
        <w:rFonts w:hint="eastAsia"/>
      </w:rPr>
    </w:lvl>
  </w:abstractNum>
  <w:abstractNum w:abstractNumId="1622498754">
    <w:nsid w:val="60B55DC2"/>
    <w:multiLevelType w:val="multilevel"/>
    <w:tmpl w:val="60B55DC2"/>
    <w:lvl w:ilvl="0" w:tentative="1">
      <w:start w:val="1"/>
      <w:numFmt w:val="upperLetter"/>
      <w:pStyle w:val="52"/>
      <w:lvlText w:val="%1"/>
      <w:lvlJc w:val="left"/>
      <w:pPr>
        <w:tabs>
          <w:tab w:val="left" w:pos="0"/>
        </w:tabs>
        <w:ind w:left="0" w:hanging="425"/>
      </w:pPr>
      <w:rPr>
        <w:rFonts w:hint="eastAsia"/>
      </w:rPr>
    </w:lvl>
    <w:lvl w:ilvl="1" w:tentative="1">
      <w:start w:val="1"/>
      <w:numFmt w:val="decimal"/>
      <w:pStyle w:val="113"/>
      <w:suff w:val="nothing"/>
      <w:lvlText w:val="表%1.%2　"/>
      <w:lvlJc w:val="left"/>
      <w:pPr>
        <w:ind w:left="567" w:hanging="567"/>
      </w:pPr>
      <w:rPr>
        <w:rFonts w:hint="eastAsia"/>
      </w:rPr>
    </w:lvl>
    <w:lvl w:ilvl="2" w:tentative="1">
      <w:start w:val="1"/>
      <w:numFmt w:val="decimal"/>
      <w:lvlText w:val="%1.%2.%3"/>
      <w:lvlJc w:val="left"/>
      <w:pPr>
        <w:tabs>
          <w:tab w:val="left" w:pos="993"/>
        </w:tabs>
        <w:ind w:left="993" w:hanging="567"/>
      </w:pPr>
      <w:rPr>
        <w:rFonts w:hint="eastAsia"/>
      </w:rPr>
    </w:lvl>
    <w:lvl w:ilvl="3" w:tentative="1">
      <w:start w:val="1"/>
      <w:numFmt w:val="decimal"/>
      <w:lvlText w:val="%1.%2.%3.%4"/>
      <w:lvlJc w:val="left"/>
      <w:pPr>
        <w:tabs>
          <w:tab w:val="left" w:pos="2291"/>
        </w:tabs>
        <w:ind w:left="1559" w:hanging="708"/>
      </w:pPr>
      <w:rPr>
        <w:rFonts w:hint="eastAsia"/>
      </w:rPr>
    </w:lvl>
    <w:lvl w:ilvl="4" w:tentative="1">
      <w:start w:val="1"/>
      <w:numFmt w:val="decimal"/>
      <w:lvlText w:val="%1.%2.%3.%4.%5"/>
      <w:lvlJc w:val="left"/>
      <w:pPr>
        <w:tabs>
          <w:tab w:val="left" w:pos="3076"/>
        </w:tabs>
        <w:ind w:left="2126" w:hanging="850"/>
      </w:pPr>
      <w:rPr>
        <w:rFonts w:hint="eastAsia"/>
      </w:rPr>
    </w:lvl>
    <w:lvl w:ilvl="5" w:tentative="1">
      <w:start w:val="1"/>
      <w:numFmt w:val="decimal"/>
      <w:lvlText w:val="%1.%2.%3.%4.%5.%6"/>
      <w:lvlJc w:val="left"/>
      <w:pPr>
        <w:tabs>
          <w:tab w:val="left" w:pos="3861"/>
        </w:tabs>
        <w:ind w:left="2835" w:hanging="1134"/>
      </w:pPr>
      <w:rPr>
        <w:rFonts w:hint="eastAsia"/>
      </w:rPr>
    </w:lvl>
    <w:lvl w:ilvl="6" w:tentative="1">
      <w:start w:val="1"/>
      <w:numFmt w:val="decimal"/>
      <w:lvlText w:val="%1.%2.%3.%4.%5.%6.%7"/>
      <w:lvlJc w:val="left"/>
      <w:pPr>
        <w:tabs>
          <w:tab w:val="left" w:pos="4646"/>
        </w:tabs>
        <w:ind w:left="3402" w:hanging="1276"/>
      </w:pPr>
      <w:rPr>
        <w:rFonts w:hint="eastAsia"/>
      </w:rPr>
    </w:lvl>
    <w:lvl w:ilvl="7" w:tentative="1">
      <w:start w:val="1"/>
      <w:numFmt w:val="decimal"/>
      <w:lvlText w:val="%1.%2.%3.%4.%5.%6.%7.%8"/>
      <w:lvlJc w:val="left"/>
      <w:pPr>
        <w:tabs>
          <w:tab w:val="left" w:pos="5431"/>
        </w:tabs>
        <w:ind w:left="3969" w:hanging="1418"/>
      </w:pPr>
      <w:rPr>
        <w:rFonts w:hint="eastAsia"/>
      </w:rPr>
    </w:lvl>
    <w:lvl w:ilvl="8" w:tentative="1">
      <w:start w:val="1"/>
      <w:numFmt w:val="decimal"/>
      <w:lvlText w:val="%1.%2.%3.%4.%5.%6.%7.%8.%9"/>
      <w:lvlJc w:val="left"/>
      <w:pPr>
        <w:tabs>
          <w:tab w:val="left" w:pos="6217"/>
        </w:tabs>
        <w:ind w:left="4677" w:hanging="1700"/>
      </w:pPr>
      <w:rPr>
        <w:rFonts w:hint="eastAsia"/>
      </w:rPr>
    </w:lvl>
  </w:abstractNum>
  <w:abstractNum w:abstractNumId="1684168954">
    <w:nsid w:val="646260FA"/>
    <w:multiLevelType w:val="multilevel"/>
    <w:tmpl w:val="646260FA"/>
    <w:lvl w:ilvl="0" w:tentative="1">
      <w:start w:val="1"/>
      <w:numFmt w:val="decimal"/>
      <w:pStyle w:val="73"/>
      <w:suff w:val="nothing"/>
      <w:lvlText w:val="表%1　"/>
      <w:lvlJc w:val="left"/>
      <w:pPr>
        <w:ind w:left="0" w:firstLine="0"/>
      </w:pPr>
      <w:rPr>
        <w:rFonts w:hint="eastAsia" w:ascii="黑体" w:hAnsi="Times New Roman" w:eastAsia="黑体"/>
        <w:b w:val="0"/>
        <w:i w:val="0"/>
        <w:sz w:val="21"/>
      </w:rPr>
    </w:lvl>
    <w:lvl w:ilvl="1" w:tentative="1">
      <w:start w:val="1"/>
      <w:numFmt w:val="decimal"/>
      <w:lvlText w:val="%1.%2"/>
      <w:lvlJc w:val="left"/>
      <w:pPr>
        <w:tabs>
          <w:tab w:val="left" w:pos="992"/>
        </w:tabs>
        <w:ind w:left="992" w:hanging="567"/>
      </w:pPr>
      <w:rPr>
        <w:rFonts w:hint="eastAsia"/>
      </w:rPr>
    </w:lvl>
    <w:lvl w:ilvl="2" w:tentative="1">
      <w:start w:val="1"/>
      <w:numFmt w:val="decimal"/>
      <w:lvlText w:val="%1.%2.%3"/>
      <w:lvlJc w:val="left"/>
      <w:pPr>
        <w:tabs>
          <w:tab w:val="left" w:pos="1418"/>
        </w:tabs>
        <w:ind w:left="1418" w:hanging="567"/>
      </w:pPr>
      <w:rPr>
        <w:rFonts w:hint="eastAsia"/>
      </w:rPr>
    </w:lvl>
    <w:lvl w:ilvl="3" w:tentative="1">
      <w:start w:val="1"/>
      <w:numFmt w:val="decimal"/>
      <w:lvlText w:val="%1.%2.%3.%4"/>
      <w:lvlJc w:val="left"/>
      <w:pPr>
        <w:tabs>
          <w:tab w:val="left" w:pos="1984"/>
        </w:tabs>
        <w:ind w:left="1984" w:hanging="708"/>
      </w:pPr>
      <w:rPr>
        <w:rFonts w:hint="eastAsia"/>
      </w:rPr>
    </w:lvl>
    <w:lvl w:ilvl="4" w:tentative="1">
      <w:start w:val="1"/>
      <w:numFmt w:val="decimal"/>
      <w:lvlText w:val="%1.%2.%3.%4.%5"/>
      <w:lvlJc w:val="left"/>
      <w:pPr>
        <w:tabs>
          <w:tab w:val="left" w:pos="2551"/>
        </w:tabs>
        <w:ind w:left="2551" w:hanging="850"/>
      </w:pPr>
      <w:rPr>
        <w:rFonts w:hint="eastAsia"/>
      </w:rPr>
    </w:lvl>
    <w:lvl w:ilvl="5" w:tentative="1">
      <w:start w:val="1"/>
      <w:numFmt w:val="decimal"/>
      <w:lvlText w:val="%1.%2.%3.%4.%5.%6"/>
      <w:lvlJc w:val="left"/>
      <w:pPr>
        <w:tabs>
          <w:tab w:val="left" w:pos="3260"/>
        </w:tabs>
        <w:ind w:left="3260" w:hanging="1134"/>
      </w:pPr>
      <w:rPr>
        <w:rFonts w:hint="eastAsia"/>
      </w:rPr>
    </w:lvl>
    <w:lvl w:ilvl="6" w:tentative="1">
      <w:start w:val="1"/>
      <w:numFmt w:val="decimal"/>
      <w:lvlText w:val="%1.%2.%3.%4.%5.%6.%7"/>
      <w:lvlJc w:val="left"/>
      <w:pPr>
        <w:tabs>
          <w:tab w:val="left" w:pos="3827"/>
        </w:tabs>
        <w:ind w:left="3827" w:hanging="1276"/>
      </w:pPr>
      <w:rPr>
        <w:rFonts w:hint="eastAsia"/>
      </w:rPr>
    </w:lvl>
    <w:lvl w:ilvl="7" w:tentative="1">
      <w:start w:val="1"/>
      <w:numFmt w:val="decimal"/>
      <w:lvlText w:val="%1.%2.%3.%4.%5.%6.%7.%8"/>
      <w:lvlJc w:val="left"/>
      <w:pPr>
        <w:tabs>
          <w:tab w:val="left" w:pos="4394"/>
        </w:tabs>
        <w:ind w:left="4394" w:hanging="1418"/>
      </w:pPr>
      <w:rPr>
        <w:rFonts w:hint="eastAsia"/>
      </w:rPr>
    </w:lvl>
    <w:lvl w:ilvl="8" w:tentative="1">
      <w:start w:val="1"/>
      <w:numFmt w:val="decimal"/>
      <w:lvlText w:val="%1.%2.%3.%4.%5.%6.%7.%8.%9"/>
      <w:lvlJc w:val="left"/>
      <w:pPr>
        <w:tabs>
          <w:tab w:val="left" w:pos="5102"/>
        </w:tabs>
        <w:ind w:left="5102" w:hanging="1700"/>
      </w:pPr>
      <w:rPr>
        <w:rFonts w:hint="eastAsia"/>
      </w:rPr>
    </w:lvl>
  </w:abstractNum>
  <w:abstractNum w:abstractNumId="1691905292">
    <w:nsid w:val="64D86D0C"/>
    <w:multiLevelType w:val="multilevel"/>
    <w:tmpl w:val="64D86D0C"/>
    <w:lvl w:ilvl="0" w:tentative="1">
      <w:start w:val="1"/>
      <w:numFmt w:val="lowerLetter"/>
      <w:lvlText w:val="%1)"/>
      <w:lvlJc w:val="left"/>
      <w:pPr>
        <w:ind w:left="900" w:hanging="420"/>
      </w:pPr>
      <w:rPr>
        <w:rFonts w:hint="eastAsia"/>
      </w:r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1702707132">
    <w:nsid w:val="657D3FBC"/>
    <w:multiLevelType w:val="multilevel"/>
    <w:tmpl w:val="657D3FBC"/>
    <w:lvl w:ilvl="0" w:tentative="1">
      <w:start w:val="1"/>
      <w:numFmt w:val="upperLetter"/>
      <w:pStyle w:val="70"/>
      <w:suff w:val="nothing"/>
      <w:lvlText w:val="附　录　%1"/>
      <w:lvlJc w:val="left"/>
      <w:pPr>
        <w:ind w:left="0" w:firstLine="0"/>
      </w:pPr>
      <w:rPr>
        <w:rFonts w:hint="eastAsia" w:ascii="黑体" w:hAnsi="Times New Roman" w:eastAsia="黑体"/>
        <w:b w:val="0"/>
        <w:i w:val="0"/>
        <w:spacing w:val="0"/>
        <w:w w:val="100"/>
        <w:sz w:val="21"/>
      </w:rPr>
    </w:lvl>
    <w:lvl w:ilvl="1" w:tentative="1">
      <w:start w:val="1"/>
      <w:numFmt w:val="decimal"/>
      <w:pStyle w:val="69"/>
      <w:suff w:val="nothing"/>
      <w:lvlText w:val="%1.%2　"/>
      <w:lvlJc w:val="left"/>
      <w:pPr>
        <w:ind w:left="0" w:firstLine="0"/>
      </w:pPr>
      <w:rPr>
        <w:rFonts w:hint="eastAsia" w:ascii="黑体" w:hAnsi="Times New Roman" w:eastAsia="黑体"/>
        <w:b w:val="0"/>
        <w:i w:val="0"/>
        <w:spacing w:val="0"/>
        <w:w w:val="100"/>
        <w:kern w:val="21"/>
        <w:sz w:val="21"/>
      </w:rPr>
    </w:lvl>
    <w:lvl w:ilvl="2" w:tentative="1">
      <w:start w:val="1"/>
      <w:numFmt w:val="decimal"/>
      <w:suff w:val="nothing"/>
      <w:lvlText w:val="%1.%2.%3　"/>
      <w:lvlJc w:val="left"/>
      <w:pPr>
        <w:ind w:left="0" w:firstLine="0"/>
      </w:pPr>
      <w:rPr>
        <w:rFonts w:hint="eastAsia" w:ascii="黑体" w:hAnsi="Times New Roman" w:eastAsia="黑体"/>
        <w:b w:val="0"/>
        <w:i w:val="0"/>
        <w:sz w:val="21"/>
      </w:rPr>
    </w:lvl>
    <w:lvl w:ilvl="3" w:tentative="1">
      <w:start w:val="1"/>
      <w:numFmt w:val="decimal"/>
      <w:pStyle w:val="50"/>
      <w:suff w:val="nothing"/>
      <w:lvlText w:val="%1.%2.%3.%4　"/>
      <w:lvlJc w:val="left"/>
      <w:pPr>
        <w:ind w:left="0" w:firstLine="0"/>
      </w:pPr>
      <w:rPr>
        <w:rFonts w:hint="eastAsia" w:ascii="黑体" w:hAnsi="Times New Roman" w:eastAsia="黑体"/>
        <w:b w:val="0"/>
        <w:i w:val="0"/>
        <w:sz w:val="21"/>
      </w:rPr>
    </w:lvl>
    <w:lvl w:ilvl="4" w:tentative="1">
      <w:start w:val="1"/>
      <w:numFmt w:val="decimal"/>
      <w:suff w:val="nothing"/>
      <w:lvlText w:val="%1.%2.%3.%4.%5　"/>
      <w:lvlJc w:val="left"/>
      <w:pPr>
        <w:ind w:left="0" w:firstLine="0"/>
      </w:pPr>
      <w:rPr>
        <w:rFonts w:hint="eastAsia" w:ascii="黑体" w:hAnsi="Times New Roman" w:eastAsia="黑体"/>
        <w:b w:val="0"/>
        <w:i w:val="0"/>
        <w:sz w:val="21"/>
      </w:rPr>
    </w:lvl>
    <w:lvl w:ilvl="5" w:tentative="1">
      <w:start w:val="1"/>
      <w:numFmt w:val="decimal"/>
      <w:suff w:val="nothing"/>
      <w:lvlText w:val="%1.%2.%3.%4.%5.%6　"/>
      <w:lvlJc w:val="left"/>
      <w:pPr>
        <w:ind w:left="0" w:firstLine="0"/>
      </w:pPr>
      <w:rPr>
        <w:rFonts w:hint="eastAsia" w:ascii="黑体" w:hAnsi="Times New Roman" w:eastAsia="黑体"/>
        <w:b w:val="0"/>
        <w:i w:val="0"/>
        <w:sz w:val="21"/>
      </w:rPr>
    </w:lvl>
    <w:lvl w:ilvl="6" w:tentative="1">
      <w:start w:val="1"/>
      <w:numFmt w:val="decimal"/>
      <w:suff w:val="nothing"/>
      <w:lvlText w:val="%1.%2.%3.%4.%5.%6.%7　"/>
      <w:lvlJc w:val="left"/>
      <w:pPr>
        <w:ind w:left="0" w:firstLine="0"/>
      </w:pPr>
      <w:rPr>
        <w:rFonts w:hint="eastAsia" w:ascii="黑体" w:hAnsi="Times New Roman" w:eastAsia="黑体"/>
        <w:b w:val="0"/>
        <w:i w:val="0"/>
        <w:sz w:val="21"/>
      </w:rPr>
    </w:lvl>
    <w:lvl w:ilvl="7" w:tentative="1">
      <w:start w:val="1"/>
      <w:numFmt w:val="decimal"/>
      <w:lvlText w:val="%1.%2.%3.%4.%5.%6.%7.%8"/>
      <w:lvlJc w:val="left"/>
      <w:pPr>
        <w:tabs>
          <w:tab w:val="left" w:pos="4394"/>
        </w:tabs>
        <w:ind w:left="4394" w:hanging="1418"/>
      </w:pPr>
      <w:rPr>
        <w:rFonts w:hint="eastAsia"/>
      </w:rPr>
    </w:lvl>
    <w:lvl w:ilvl="8" w:tentative="1">
      <w:start w:val="1"/>
      <w:numFmt w:val="decimal"/>
      <w:lvlText w:val="%1.%2.%3.%4.%5.%6.%7.%8.%9"/>
      <w:lvlJc w:val="left"/>
      <w:pPr>
        <w:tabs>
          <w:tab w:val="left" w:pos="5102"/>
        </w:tabs>
        <w:ind w:left="5102" w:hanging="1700"/>
      </w:pPr>
      <w:rPr>
        <w:rFonts w:hint="eastAsia"/>
      </w:rPr>
    </w:lvl>
  </w:abstractNum>
  <w:abstractNum w:abstractNumId="1745953148">
    <w:nsid w:val="6811217C"/>
    <w:multiLevelType w:val="multilevel"/>
    <w:tmpl w:val="6811217C"/>
    <w:lvl w:ilvl="0" w:tentative="1">
      <w:start w:val="1"/>
      <w:numFmt w:val="lowerLetter"/>
      <w:lvlText w:val="%1)"/>
      <w:lvlJc w:val="left"/>
      <w:pPr>
        <w:ind w:left="900" w:hanging="420"/>
      </w:pPr>
      <w:rPr>
        <w:rFonts w:hint="eastAsia"/>
      </w:r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1809786305">
    <w:nsid w:val="6BDF25C1"/>
    <w:multiLevelType w:val="multilevel"/>
    <w:tmpl w:val="6BDF25C1"/>
    <w:lvl w:ilvl="0" w:tentative="1">
      <w:start w:val="1"/>
      <w:numFmt w:val="lowerLetter"/>
      <w:lvlText w:val="%1)"/>
      <w:lvlJc w:val="left"/>
      <w:pPr>
        <w:ind w:left="900" w:hanging="420"/>
      </w:pPr>
      <w:rPr>
        <w:rFonts w:hint="eastAsia"/>
      </w:r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1835796429">
    <w:nsid w:val="6D6C07CD"/>
    <w:multiLevelType w:val="multilevel"/>
    <w:tmpl w:val="6D6C07CD"/>
    <w:lvl w:ilvl="0" w:tentative="1">
      <w:start w:val="1"/>
      <w:numFmt w:val="lowerLetter"/>
      <w:pStyle w:val="118"/>
      <w:lvlText w:val="%1)"/>
      <w:lvlJc w:val="left"/>
      <w:pPr>
        <w:tabs>
          <w:tab w:val="left" w:pos="839"/>
        </w:tabs>
        <w:ind w:left="839" w:hanging="419"/>
      </w:pPr>
      <w:rPr>
        <w:rFonts w:hint="eastAsia" w:ascii="宋体" w:eastAsia="宋体"/>
        <w:b w:val="0"/>
        <w:i w:val="0"/>
        <w:sz w:val="21"/>
      </w:rPr>
    </w:lvl>
    <w:lvl w:ilvl="1" w:tentative="1">
      <w:start w:val="1"/>
      <w:numFmt w:val="decimal"/>
      <w:pStyle w:val="116"/>
      <w:lvlText w:val="%2)"/>
      <w:lvlJc w:val="left"/>
      <w:pPr>
        <w:tabs>
          <w:tab w:val="left" w:pos="840"/>
        </w:tabs>
        <w:ind w:left="839" w:hanging="419"/>
      </w:pPr>
      <w:rPr>
        <w:rFonts w:hint="eastAsia" w:ascii="宋体" w:eastAsia="宋体"/>
        <w:b w:val="0"/>
        <w:i w:val="0"/>
        <w:sz w:val="21"/>
      </w:rPr>
    </w:lvl>
    <w:lvl w:ilvl="2" w:tentative="1">
      <w:start w:val="1"/>
      <w:numFmt w:val="lowerRoman"/>
      <w:lvlText w:val="%3."/>
      <w:lvlJc w:val="right"/>
      <w:pPr>
        <w:tabs>
          <w:tab w:val="left" w:pos="1260"/>
        </w:tabs>
        <w:ind w:left="1259" w:hanging="419"/>
      </w:pPr>
      <w:rPr>
        <w:rFonts w:hint="eastAsia"/>
      </w:rPr>
    </w:lvl>
    <w:lvl w:ilvl="3" w:tentative="1">
      <w:start w:val="1"/>
      <w:numFmt w:val="decimal"/>
      <w:lvlText w:val="%4."/>
      <w:lvlJc w:val="left"/>
      <w:pPr>
        <w:tabs>
          <w:tab w:val="left" w:pos="1680"/>
        </w:tabs>
        <w:ind w:left="1679" w:hanging="419"/>
      </w:pPr>
      <w:rPr>
        <w:rFonts w:hint="eastAsia"/>
      </w:rPr>
    </w:lvl>
    <w:lvl w:ilvl="4" w:tentative="1">
      <w:start w:val="1"/>
      <w:numFmt w:val="lowerLetter"/>
      <w:lvlText w:val="%5)"/>
      <w:lvlJc w:val="left"/>
      <w:pPr>
        <w:tabs>
          <w:tab w:val="left" w:pos="2100"/>
        </w:tabs>
        <w:ind w:left="2099" w:hanging="419"/>
      </w:pPr>
      <w:rPr>
        <w:rFonts w:hint="eastAsia"/>
      </w:rPr>
    </w:lvl>
    <w:lvl w:ilvl="5" w:tentative="1">
      <w:start w:val="1"/>
      <w:numFmt w:val="lowerRoman"/>
      <w:lvlText w:val="%6."/>
      <w:lvlJc w:val="right"/>
      <w:pPr>
        <w:tabs>
          <w:tab w:val="left" w:pos="2520"/>
        </w:tabs>
        <w:ind w:left="2519" w:hanging="419"/>
      </w:pPr>
      <w:rPr>
        <w:rFonts w:hint="eastAsia"/>
      </w:rPr>
    </w:lvl>
    <w:lvl w:ilvl="6" w:tentative="1">
      <w:start w:val="1"/>
      <w:numFmt w:val="decimal"/>
      <w:lvlText w:val="%7."/>
      <w:lvlJc w:val="left"/>
      <w:pPr>
        <w:tabs>
          <w:tab w:val="left" w:pos="2940"/>
        </w:tabs>
        <w:ind w:left="2939" w:hanging="419"/>
      </w:pPr>
      <w:rPr>
        <w:rFonts w:hint="eastAsia"/>
      </w:rPr>
    </w:lvl>
    <w:lvl w:ilvl="7" w:tentative="1">
      <w:start w:val="1"/>
      <w:numFmt w:val="lowerLetter"/>
      <w:lvlText w:val="%8)"/>
      <w:lvlJc w:val="left"/>
      <w:pPr>
        <w:tabs>
          <w:tab w:val="left" w:pos="3360"/>
        </w:tabs>
        <w:ind w:left="3359" w:hanging="419"/>
      </w:pPr>
      <w:rPr>
        <w:rFonts w:hint="eastAsia"/>
      </w:rPr>
    </w:lvl>
    <w:lvl w:ilvl="8" w:tentative="1">
      <w:start w:val="1"/>
      <w:numFmt w:val="lowerRoman"/>
      <w:lvlText w:val="%9."/>
      <w:lvlJc w:val="right"/>
      <w:pPr>
        <w:tabs>
          <w:tab w:val="left" w:pos="3780"/>
        </w:tabs>
        <w:ind w:left="3779" w:hanging="419"/>
      </w:pPr>
      <w:rPr>
        <w:rFonts w:hint="eastAsia"/>
      </w:rPr>
    </w:lvl>
  </w:abstractNum>
  <w:abstractNum w:abstractNumId="1841235188">
    <w:nsid w:val="6DBF04F4"/>
    <w:multiLevelType w:val="multilevel"/>
    <w:tmpl w:val="6DBF04F4"/>
    <w:lvl w:ilvl="0" w:tentative="1">
      <w:start w:val="1"/>
      <w:numFmt w:val="none"/>
      <w:pStyle w:val="95"/>
      <w:suff w:val="nothing"/>
      <w:lvlText w:val="%1注："/>
      <w:lvlJc w:val="left"/>
      <w:pPr>
        <w:ind w:left="726" w:hanging="363"/>
      </w:pPr>
      <w:rPr>
        <w:rFonts w:hint="eastAsia" w:ascii="黑体" w:hAnsi="Times New Roman" w:eastAsia="黑体"/>
        <w:b w:val="0"/>
        <w:i w:val="0"/>
        <w:sz w:val="18"/>
      </w:rPr>
    </w:lvl>
    <w:lvl w:ilvl="1" w:tentative="1">
      <w:start w:val="1"/>
      <w:numFmt w:val="lowerLetter"/>
      <w:lvlText w:val="%2)"/>
      <w:lvlJc w:val="left"/>
      <w:pPr>
        <w:tabs>
          <w:tab w:val="left" w:pos="1140"/>
        </w:tabs>
        <w:ind w:left="726" w:hanging="363"/>
      </w:pPr>
      <w:rPr>
        <w:rFonts w:hint="eastAsia"/>
      </w:rPr>
    </w:lvl>
    <w:lvl w:ilvl="2" w:tentative="1">
      <w:start w:val="1"/>
      <w:numFmt w:val="lowerRoman"/>
      <w:lvlText w:val="%3."/>
      <w:lvlJc w:val="right"/>
      <w:pPr>
        <w:tabs>
          <w:tab w:val="left" w:pos="1140"/>
        </w:tabs>
        <w:ind w:left="726" w:hanging="363"/>
      </w:pPr>
      <w:rPr>
        <w:rFonts w:hint="eastAsia"/>
      </w:rPr>
    </w:lvl>
    <w:lvl w:ilvl="3" w:tentative="1">
      <w:start w:val="1"/>
      <w:numFmt w:val="decimal"/>
      <w:lvlText w:val="%4."/>
      <w:lvlJc w:val="left"/>
      <w:pPr>
        <w:tabs>
          <w:tab w:val="left" w:pos="1140"/>
        </w:tabs>
        <w:ind w:left="726" w:hanging="363"/>
      </w:pPr>
      <w:rPr>
        <w:rFonts w:hint="eastAsia"/>
      </w:rPr>
    </w:lvl>
    <w:lvl w:ilvl="4" w:tentative="1">
      <w:start w:val="1"/>
      <w:numFmt w:val="lowerLetter"/>
      <w:lvlText w:val="%5)"/>
      <w:lvlJc w:val="left"/>
      <w:pPr>
        <w:tabs>
          <w:tab w:val="left" w:pos="1140"/>
        </w:tabs>
        <w:ind w:left="726" w:hanging="363"/>
      </w:pPr>
      <w:rPr>
        <w:rFonts w:hint="eastAsia"/>
      </w:rPr>
    </w:lvl>
    <w:lvl w:ilvl="5" w:tentative="1">
      <w:start w:val="1"/>
      <w:numFmt w:val="lowerRoman"/>
      <w:lvlText w:val="%6."/>
      <w:lvlJc w:val="right"/>
      <w:pPr>
        <w:tabs>
          <w:tab w:val="left" w:pos="1140"/>
        </w:tabs>
        <w:ind w:left="726" w:hanging="363"/>
      </w:pPr>
      <w:rPr>
        <w:rFonts w:hint="eastAsia"/>
      </w:rPr>
    </w:lvl>
    <w:lvl w:ilvl="6" w:tentative="1">
      <w:start w:val="1"/>
      <w:numFmt w:val="decimal"/>
      <w:lvlText w:val="%7."/>
      <w:lvlJc w:val="left"/>
      <w:pPr>
        <w:tabs>
          <w:tab w:val="left" w:pos="1140"/>
        </w:tabs>
        <w:ind w:left="726" w:hanging="363"/>
      </w:pPr>
      <w:rPr>
        <w:rFonts w:hint="eastAsia"/>
      </w:rPr>
    </w:lvl>
    <w:lvl w:ilvl="7" w:tentative="1">
      <w:start w:val="1"/>
      <w:numFmt w:val="lowerLetter"/>
      <w:lvlText w:val="%8)"/>
      <w:lvlJc w:val="left"/>
      <w:pPr>
        <w:tabs>
          <w:tab w:val="left" w:pos="1140"/>
        </w:tabs>
        <w:ind w:left="726" w:hanging="363"/>
      </w:pPr>
      <w:rPr>
        <w:rFonts w:hint="eastAsia"/>
      </w:rPr>
    </w:lvl>
    <w:lvl w:ilvl="8" w:tentative="1">
      <w:start w:val="1"/>
      <w:numFmt w:val="lowerRoman"/>
      <w:lvlText w:val="%9."/>
      <w:lvlJc w:val="right"/>
      <w:pPr>
        <w:tabs>
          <w:tab w:val="left" w:pos="1140"/>
        </w:tabs>
        <w:ind w:left="726" w:hanging="363"/>
      </w:pPr>
      <w:rPr>
        <w:rFonts w:hint="eastAsia"/>
      </w:rPr>
    </w:lvl>
  </w:abstractNum>
  <w:abstractNum w:abstractNumId="1897550749">
    <w:nsid w:val="711A539D"/>
    <w:multiLevelType w:val="multilevel"/>
    <w:tmpl w:val="711A539D"/>
    <w:lvl w:ilvl="0" w:tentative="1">
      <w:start w:val="1"/>
      <w:numFmt w:val="lowerLetter"/>
      <w:lvlText w:val="%1)"/>
      <w:lvlJc w:val="left"/>
      <w:pPr>
        <w:ind w:left="900" w:hanging="420"/>
      </w:pPr>
      <w:rPr>
        <w:rFonts w:hint="eastAsia"/>
      </w:r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num w:numId="1">
    <w:abstractNumId w:val="1030960664"/>
  </w:num>
  <w:num w:numId="2">
    <w:abstractNumId w:val="533270883"/>
  </w:num>
  <w:num w:numId="3">
    <w:abstractNumId w:val="1702707132"/>
  </w:num>
  <w:num w:numId="4">
    <w:abstractNumId w:val="1622498754"/>
  </w:num>
  <w:num w:numId="5">
    <w:abstractNumId w:val="714043667"/>
  </w:num>
  <w:num w:numId="6">
    <w:abstractNumId w:val="1684168954"/>
  </w:num>
  <w:num w:numId="7">
    <w:abstractNumId w:val="744036291"/>
  </w:num>
  <w:num w:numId="8">
    <w:abstractNumId w:val="499079226"/>
  </w:num>
  <w:num w:numId="9">
    <w:abstractNumId w:val="182675433"/>
  </w:num>
  <w:num w:numId="10">
    <w:abstractNumId w:val="1265842783"/>
  </w:num>
  <w:num w:numId="11">
    <w:abstractNumId w:val="1841235188"/>
  </w:num>
  <w:num w:numId="12">
    <w:abstractNumId w:val="1153765264"/>
  </w:num>
  <w:num w:numId="13">
    <w:abstractNumId w:val="126943917"/>
  </w:num>
  <w:num w:numId="14">
    <w:abstractNumId w:val="578977115"/>
  </w:num>
  <w:num w:numId="15">
    <w:abstractNumId w:val="228079684"/>
  </w:num>
  <w:num w:numId="16">
    <w:abstractNumId w:val="1835796429"/>
  </w:num>
  <w:num w:numId="17">
    <w:abstractNumId w:val="1897550749"/>
  </w:num>
  <w:num w:numId="18">
    <w:abstractNumId w:val="402220054"/>
  </w:num>
  <w:num w:numId="19">
    <w:abstractNumId w:val="58791731"/>
  </w:num>
  <w:num w:numId="20">
    <w:abstractNumId w:val="1809786305"/>
  </w:num>
  <w:num w:numId="21">
    <w:abstractNumId w:val="1745953148"/>
  </w:num>
  <w:num w:numId="22">
    <w:abstractNumId w:val="1691905292"/>
  </w:num>
  <w:num w:numId="23">
    <w:abstractNumId w:val="2696241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qFormat="1"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qFormat="1" w:unhideWhenUsed="0" w:uiPriority="39" w:semiHidden="0" w:name="toc 7"/>
    <w:lsdException w:unhideWhenUsed="0" w:uiPriority="39" w:semiHidden="0" w:name="toc 8"/>
    <w:lsdException w:unhideWhenUsed="0" w:uiPriority="39" w:semiHidden="0" w:name="toc 9"/>
    <w:lsdException w:uiPriority="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99" w:semiHidden="0" w:name="footer"/>
    <w:lsdException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name="endnote reference"/>
    <w:lsdException w:unhideWhenUsed="0"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nhideWhenUsed="0" w:uiPriority="0" w:semiHidden="0" w:name="annotation subject"/>
    <w:lsdException w:unhideWhenUsed="0" w:uiPriority="0" w:semiHidden="0"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38"/>
    <w:qFormat/>
    <w:uiPriority w:val="0"/>
    <w:pPr>
      <w:keepNext/>
      <w:keepLines/>
      <w:spacing w:before="340" w:after="330" w:line="578" w:lineRule="auto"/>
      <w:outlineLvl w:val="0"/>
    </w:pPr>
    <w:rPr>
      <w:b/>
      <w:bCs/>
      <w:kern w:val="44"/>
      <w:sz w:val="44"/>
      <w:szCs w:val="44"/>
    </w:rPr>
  </w:style>
  <w:style w:type="character" w:default="1" w:styleId="32">
    <w:name w:val="Default Paragraph Font"/>
    <w:semiHidden/>
    <w:unhideWhenUsed/>
    <w:uiPriority w:val="1"/>
  </w:style>
  <w:style w:type="paragraph" w:styleId="3">
    <w:name w:val="annotation subject"/>
    <w:basedOn w:val="4"/>
    <w:next w:val="4"/>
    <w:link w:val="145"/>
    <w:uiPriority w:val="0"/>
    <w:rPr>
      <w:b/>
      <w:bCs/>
    </w:rPr>
  </w:style>
  <w:style w:type="paragraph" w:styleId="4">
    <w:name w:val="annotation text"/>
    <w:basedOn w:val="1"/>
    <w:link w:val="144"/>
    <w:uiPriority w:val="0"/>
    <w:pPr>
      <w:jc w:val="left"/>
    </w:pPr>
  </w:style>
  <w:style w:type="paragraph" w:styleId="5">
    <w:name w:val="toc 7"/>
    <w:basedOn w:val="1"/>
    <w:next w:val="1"/>
    <w:qFormat/>
    <w:uiPriority w:val="39"/>
    <w:pPr>
      <w:tabs>
        <w:tab w:val="right" w:leader="dot" w:pos="9241"/>
      </w:tabs>
      <w:ind w:firstLine="505" w:firstLineChars="500"/>
      <w:jc w:val="left"/>
    </w:pPr>
    <w:rPr>
      <w:rFonts w:ascii="宋体"/>
      <w:szCs w:val="21"/>
    </w:rPr>
  </w:style>
  <w:style w:type="paragraph" w:styleId="6">
    <w:name w:val="index 8"/>
    <w:basedOn w:val="1"/>
    <w:next w:val="1"/>
    <w:qFormat/>
    <w:uiPriority w:val="0"/>
    <w:pPr>
      <w:ind w:left="1680" w:hanging="210"/>
      <w:jc w:val="left"/>
    </w:pPr>
    <w:rPr>
      <w:rFonts w:ascii="Calibri" w:hAnsi="Calibri"/>
      <w:sz w:val="20"/>
      <w:szCs w:val="20"/>
    </w:rPr>
  </w:style>
  <w:style w:type="paragraph" w:styleId="7">
    <w:name w:val="caption"/>
    <w:basedOn w:val="1"/>
    <w:next w:val="1"/>
    <w:qFormat/>
    <w:uiPriority w:val="0"/>
    <w:pPr>
      <w:spacing w:before="152" w:after="160"/>
    </w:pPr>
    <w:rPr>
      <w:rFonts w:ascii="Arial" w:hAnsi="Arial" w:eastAsia="黑体" w:cs="Arial"/>
      <w:sz w:val="20"/>
      <w:szCs w:val="20"/>
    </w:rPr>
  </w:style>
  <w:style w:type="paragraph" w:styleId="8">
    <w:name w:val="index 5"/>
    <w:basedOn w:val="1"/>
    <w:next w:val="1"/>
    <w:uiPriority w:val="0"/>
    <w:pPr>
      <w:ind w:left="1050" w:hanging="210"/>
      <w:jc w:val="left"/>
    </w:pPr>
    <w:rPr>
      <w:rFonts w:ascii="Calibri" w:hAnsi="Calibri"/>
      <w:sz w:val="20"/>
      <w:szCs w:val="20"/>
    </w:rPr>
  </w:style>
  <w:style w:type="paragraph" w:styleId="9">
    <w:name w:val="Document Map"/>
    <w:basedOn w:val="1"/>
    <w:semiHidden/>
    <w:qFormat/>
    <w:uiPriority w:val="0"/>
    <w:pPr>
      <w:shd w:val="clear" w:color="auto" w:fill="000080"/>
    </w:pPr>
  </w:style>
  <w:style w:type="paragraph" w:styleId="10">
    <w:name w:val="index 6"/>
    <w:basedOn w:val="1"/>
    <w:next w:val="1"/>
    <w:uiPriority w:val="0"/>
    <w:pPr>
      <w:ind w:left="1260" w:hanging="210"/>
      <w:jc w:val="left"/>
    </w:pPr>
    <w:rPr>
      <w:rFonts w:ascii="Calibri" w:hAnsi="Calibri"/>
      <w:sz w:val="20"/>
      <w:szCs w:val="20"/>
    </w:rPr>
  </w:style>
  <w:style w:type="paragraph" w:styleId="11">
    <w:name w:val="index 4"/>
    <w:basedOn w:val="1"/>
    <w:next w:val="1"/>
    <w:uiPriority w:val="0"/>
    <w:pPr>
      <w:ind w:left="840" w:hanging="210"/>
      <w:jc w:val="left"/>
    </w:pPr>
    <w:rPr>
      <w:rFonts w:ascii="Calibri" w:hAnsi="Calibri"/>
      <w:sz w:val="20"/>
      <w:szCs w:val="20"/>
    </w:rPr>
  </w:style>
  <w:style w:type="paragraph" w:styleId="12">
    <w:name w:val="toc 5"/>
    <w:basedOn w:val="1"/>
    <w:next w:val="1"/>
    <w:uiPriority w:val="39"/>
    <w:pPr>
      <w:tabs>
        <w:tab w:val="right" w:leader="dot" w:pos="9241"/>
      </w:tabs>
      <w:ind w:firstLine="300" w:firstLineChars="300"/>
      <w:jc w:val="left"/>
    </w:pPr>
    <w:rPr>
      <w:rFonts w:ascii="宋体"/>
      <w:szCs w:val="21"/>
    </w:rPr>
  </w:style>
  <w:style w:type="paragraph" w:styleId="13">
    <w:name w:val="toc 3"/>
    <w:basedOn w:val="1"/>
    <w:next w:val="1"/>
    <w:uiPriority w:val="39"/>
    <w:pPr>
      <w:tabs>
        <w:tab w:val="right" w:leader="dot" w:pos="9241"/>
      </w:tabs>
      <w:ind w:firstLine="102" w:firstLineChars="100"/>
      <w:jc w:val="left"/>
    </w:pPr>
    <w:rPr>
      <w:rFonts w:ascii="宋体"/>
      <w:szCs w:val="21"/>
    </w:rPr>
  </w:style>
  <w:style w:type="paragraph" w:styleId="14">
    <w:name w:val="toc 8"/>
    <w:basedOn w:val="1"/>
    <w:next w:val="1"/>
    <w:uiPriority w:val="39"/>
    <w:pPr>
      <w:tabs>
        <w:tab w:val="right" w:leader="dot" w:pos="9241"/>
      </w:tabs>
      <w:ind w:firstLine="607" w:firstLineChars="600"/>
      <w:jc w:val="left"/>
    </w:pPr>
    <w:rPr>
      <w:rFonts w:ascii="宋体"/>
      <w:szCs w:val="21"/>
    </w:rPr>
  </w:style>
  <w:style w:type="paragraph" w:styleId="15">
    <w:name w:val="index 3"/>
    <w:basedOn w:val="1"/>
    <w:next w:val="1"/>
    <w:qFormat/>
    <w:uiPriority w:val="0"/>
    <w:pPr>
      <w:ind w:left="630" w:hanging="210"/>
      <w:jc w:val="left"/>
    </w:pPr>
    <w:rPr>
      <w:rFonts w:ascii="Calibri" w:hAnsi="Calibri"/>
      <w:sz w:val="20"/>
      <w:szCs w:val="20"/>
    </w:rPr>
  </w:style>
  <w:style w:type="paragraph" w:styleId="16">
    <w:name w:val="endnote text"/>
    <w:basedOn w:val="1"/>
    <w:semiHidden/>
    <w:uiPriority w:val="0"/>
    <w:pPr>
      <w:snapToGrid w:val="0"/>
      <w:jc w:val="left"/>
    </w:pPr>
  </w:style>
  <w:style w:type="paragraph" w:styleId="17">
    <w:name w:val="Balloon Text"/>
    <w:basedOn w:val="1"/>
    <w:link w:val="141"/>
    <w:uiPriority w:val="0"/>
    <w:rPr>
      <w:sz w:val="18"/>
      <w:szCs w:val="18"/>
    </w:rPr>
  </w:style>
  <w:style w:type="paragraph" w:styleId="18">
    <w:name w:val="footer"/>
    <w:basedOn w:val="1"/>
    <w:link w:val="140"/>
    <w:uiPriority w:val="99"/>
    <w:pPr>
      <w:snapToGrid w:val="0"/>
      <w:ind w:right="210" w:rightChars="100"/>
      <w:jc w:val="right"/>
    </w:pPr>
    <w:rPr>
      <w:sz w:val="18"/>
      <w:szCs w:val="18"/>
    </w:rPr>
  </w:style>
  <w:style w:type="paragraph" w:styleId="19">
    <w:name w:val="header"/>
    <w:basedOn w:val="1"/>
    <w:link w:val="139"/>
    <w:uiPriority w:val="99"/>
    <w:pPr>
      <w:snapToGrid w:val="0"/>
      <w:jc w:val="left"/>
    </w:pPr>
    <w:rPr>
      <w:sz w:val="18"/>
      <w:szCs w:val="18"/>
    </w:rPr>
  </w:style>
  <w:style w:type="paragraph" w:styleId="20">
    <w:name w:val="toc 1"/>
    <w:basedOn w:val="1"/>
    <w:next w:val="1"/>
    <w:uiPriority w:val="39"/>
    <w:pPr>
      <w:tabs>
        <w:tab w:val="right" w:leader="dot" w:pos="9241"/>
      </w:tabs>
      <w:spacing w:beforeLines="25" w:afterLines="25"/>
      <w:jc w:val="left"/>
    </w:pPr>
    <w:rPr>
      <w:rFonts w:ascii="宋体"/>
      <w:szCs w:val="21"/>
    </w:rPr>
  </w:style>
  <w:style w:type="paragraph" w:styleId="21">
    <w:name w:val="toc 4"/>
    <w:basedOn w:val="1"/>
    <w:next w:val="1"/>
    <w:uiPriority w:val="39"/>
    <w:pPr>
      <w:tabs>
        <w:tab w:val="right" w:leader="dot" w:pos="9241"/>
      </w:tabs>
      <w:ind w:firstLine="198" w:firstLineChars="200"/>
      <w:jc w:val="left"/>
    </w:pPr>
    <w:rPr>
      <w:rFonts w:ascii="宋体"/>
      <w:szCs w:val="21"/>
    </w:rPr>
  </w:style>
  <w:style w:type="paragraph" w:styleId="22">
    <w:name w:val="index heading"/>
    <w:basedOn w:val="1"/>
    <w:next w:val="23"/>
    <w:uiPriority w:val="0"/>
    <w:pPr>
      <w:spacing w:before="120" w:after="120"/>
      <w:jc w:val="center"/>
    </w:pPr>
    <w:rPr>
      <w:rFonts w:ascii="Calibri" w:hAnsi="Calibri"/>
      <w:b/>
      <w:bCs/>
      <w:iCs/>
      <w:szCs w:val="20"/>
    </w:rPr>
  </w:style>
  <w:style w:type="paragraph" w:styleId="23">
    <w:name w:val="index 1"/>
    <w:basedOn w:val="1"/>
    <w:next w:val="24"/>
    <w:uiPriority w:val="0"/>
    <w:pPr>
      <w:tabs>
        <w:tab w:val="right" w:leader="dot" w:pos="9299"/>
      </w:tabs>
      <w:jc w:val="left"/>
    </w:pPr>
    <w:rPr>
      <w:rFonts w:ascii="宋体"/>
      <w:szCs w:val="21"/>
    </w:rPr>
  </w:style>
  <w:style w:type="paragraph" w:customStyle="1" w:styleId="24">
    <w:name w:val="段"/>
    <w:link w:val="136"/>
    <w:uiPriority w:val="0"/>
    <w:pPr>
      <w:tabs>
        <w:tab w:val="center" w:pos="4201"/>
        <w:tab w:val="right" w:leader="dot" w:pos="9298"/>
      </w:tabs>
      <w:autoSpaceDE w:val="0"/>
      <w:autoSpaceDN w:val="0"/>
      <w:ind w:firstLine="420" w:firstLineChars="200"/>
      <w:jc w:val="both"/>
    </w:pPr>
    <w:rPr>
      <w:rFonts w:ascii="宋体"/>
      <w:sz w:val="21"/>
    </w:rPr>
  </w:style>
  <w:style w:type="paragraph" w:styleId="25">
    <w:name w:val="footnote text"/>
    <w:basedOn w:val="1"/>
    <w:uiPriority w:val="0"/>
    <w:pPr>
      <w:numPr>
        <w:ilvl w:val="0"/>
        <w:numId w:val="1"/>
      </w:numPr>
      <w:snapToGrid w:val="0"/>
      <w:jc w:val="left"/>
    </w:pPr>
    <w:rPr>
      <w:rFonts w:ascii="宋体"/>
      <w:sz w:val="18"/>
      <w:szCs w:val="18"/>
    </w:rPr>
  </w:style>
  <w:style w:type="paragraph" w:styleId="26">
    <w:name w:val="toc 6"/>
    <w:basedOn w:val="1"/>
    <w:next w:val="1"/>
    <w:uiPriority w:val="39"/>
    <w:pPr>
      <w:tabs>
        <w:tab w:val="right" w:leader="dot" w:pos="9241"/>
      </w:tabs>
      <w:ind w:firstLine="403" w:firstLineChars="400"/>
      <w:jc w:val="left"/>
    </w:pPr>
    <w:rPr>
      <w:rFonts w:ascii="宋体"/>
      <w:szCs w:val="21"/>
    </w:rPr>
  </w:style>
  <w:style w:type="paragraph" w:styleId="27">
    <w:name w:val="index 7"/>
    <w:basedOn w:val="1"/>
    <w:next w:val="1"/>
    <w:uiPriority w:val="0"/>
    <w:pPr>
      <w:ind w:left="1470" w:hanging="210"/>
      <w:jc w:val="left"/>
    </w:pPr>
    <w:rPr>
      <w:rFonts w:ascii="Calibri" w:hAnsi="Calibri"/>
      <w:sz w:val="20"/>
      <w:szCs w:val="20"/>
    </w:rPr>
  </w:style>
  <w:style w:type="paragraph" w:styleId="28">
    <w:name w:val="index 9"/>
    <w:basedOn w:val="1"/>
    <w:next w:val="1"/>
    <w:uiPriority w:val="0"/>
    <w:pPr>
      <w:ind w:left="1890" w:hanging="210"/>
      <w:jc w:val="left"/>
    </w:pPr>
    <w:rPr>
      <w:rFonts w:ascii="Calibri" w:hAnsi="Calibri"/>
      <w:sz w:val="20"/>
      <w:szCs w:val="20"/>
    </w:rPr>
  </w:style>
  <w:style w:type="paragraph" w:styleId="29">
    <w:name w:val="toc 2"/>
    <w:basedOn w:val="1"/>
    <w:next w:val="1"/>
    <w:uiPriority w:val="39"/>
    <w:pPr>
      <w:tabs>
        <w:tab w:val="right" w:leader="dot" w:pos="9241"/>
      </w:tabs>
    </w:pPr>
    <w:rPr>
      <w:rFonts w:ascii="宋体"/>
      <w:szCs w:val="21"/>
    </w:rPr>
  </w:style>
  <w:style w:type="paragraph" w:styleId="30">
    <w:name w:val="toc 9"/>
    <w:basedOn w:val="1"/>
    <w:next w:val="1"/>
    <w:uiPriority w:val="39"/>
    <w:pPr>
      <w:ind w:left="1470"/>
      <w:jc w:val="left"/>
    </w:pPr>
    <w:rPr>
      <w:sz w:val="20"/>
      <w:szCs w:val="20"/>
    </w:rPr>
  </w:style>
  <w:style w:type="paragraph" w:styleId="31">
    <w:name w:val="index 2"/>
    <w:basedOn w:val="1"/>
    <w:next w:val="1"/>
    <w:uiPriority w:val="0"/>
    <w:pPr>
      <w:ind w:left="420" w:hanging="210"/>
      <w:jc w:val="left"/>
    </w:pPr>
    <w:rPr>
      <w:rFonts w:ascii="Calibri" w:hAnsi="Calibri"/>
      <w:sz w:val="20"/>
      <w:szCs w:val="20"/>
    </w:rPr>
  </w:style>
  <w:style w:type="character" w:styleId="33">
    <w:name w:val="endnote reference"/>
    <w:semiHidden/>
    <w:qFormat/>
    <w:uiPriority w:val="0"/>
    <w:rPr>
      <w:vertAlign w:val="superscript"/>
    </w:rPr>
  </w:style>
  <w:style w:type="character" w:styleId="34">
    <w:name w:val="page number"/>
    <w:qFormat/>
    <w:uiPriority w:val="0"/>
    <w:rPr>
      <w:rFonts w:ascii="Times New Roman" w:hAnsi="Times New Roman" w:eastAsia="宋体"/>
      <w:sz w:val="18"/>
    </w:rPr>
  </w:style>
  <w:style w:type="character" w:styleId="35">
    <w:name w:val="FollowedHyperlink"/>
    <w:qFormat/>
    <w:uiPriority w:val="0"/>
    <w:rPr>
      <w:color w:val="800080"/>
      <w:u w:val="single"/>
    </w:rPr>
  </w:style>
  <w:style w:type="character" w:styleId="36">
    <w:name w:val="Hyperlink"/>
    <w:qFormat/>
    <w:uiPriority w:val="99"/>
    <w:rPr>
      <w:color w:val="0000FF"/>
      <w:spacing w:val="0"/>
      <w:w w:val="100"/>
      <w:szCs w:val="21"/>
      <w:u w:val="single"/>
      <w:lang w:val="en-US" w:eastAsia="zh-CN"/>
    </w:rPr>
  </w:style>
  <w:style w:type="character" w:styleId="37">
    <w:name w:val="annotation reference"/>
    <w:basedOn w:val="32"/>
    <w:qFormat/>
    <w:uiPriority w:val="0"/>
    <w:rPr>
      <w:sz w:val="21"/>
      <w:szCs w:val="21"/>
    </w:rPr>
  </w:style>
  <w:style w:type="character" w:styleId="38">
    <w:name w:val="footnote reference"/>
    <w:semiHidden/>
    <w:qFormat/>
    <w:uiPriority w:val="0"/>
    <w:rPr>
      <w:vertAlign w:val="superscript"/>
    </w:rPr>
  </w:style>
  <w:style w:type="paragraph" w:customStyle="1" w:styleId="39">
    <w:name w:val="附录公式"/>
    <w:basedOn w:val="24"/>
    <w:next w:val="24"/>
    <w:link w:val="135"/>
    <w:qFormat/>
    <w:uiPriority w:val="0"/>
  </w:style>
  <w:style w:type="paragraph" w:customStyle="1" w:styleId="40">
    <w:name w:val="首示例"/>
    <w:next w:val="24"/>
    <w:link w:val="137"/>
    <w:qFormat/>
    <w:uiPriority w:val="0"/>
    <w:pPr>
      <w:tabs>
        <w:tab w:val="left" w:pos="360"/>
      </w:tabs>
    </w:pPr>
    <w:rPr>
      <w:rFonts w:ascii="宋体" w:hAnsi="宋体"/>
      <w:kern w:val="2"/>
      <w:sz w:val="18"/>
      <w:szCs w:val="18"/>
    </w:rPr>
  </w:style>
  <w:style w:type="paragraph" w:customStyle="1" w:styleId="41">
    <w:name w:val="五级无"/>
    <w:basedOn w:val="42"/>
    <w:qFormat/>
    <w:uiPriority w:val="0"/>
    <w:pPr>
      <w:spacing w:beforeLines="0"/>
    </w:pPr>
    <w:rPr>
      <w:rFonts w:ascii="宋体" w:eastAsia="宋体"/>
    </w:rPr>
  </w:style>
  <w:style w:type="paragraph" w:customStyle="1" w:styleId="42">
    <w:name w:val="五级条标题"/>
    <w:basedOn w:val="43"/>
    <w:next w:val="24"/>
    <w:qFormat/>
    <w:uiPriority w:val="0"/>
    <w:pPr>
      <w:outlineLvl w:val="6"/>
    </w:pPr>
  </w:style>
  <w:style w:type="paragraph" w:customStyle="1" w:styleId="43">
    <w:name w:val="四级条标题"/>
    <w:basedOn w:val="44"/>
    <w:next w:val="24"/>
    <w:qFormat/>
    <w:uiPriority w:val="0"/>
    <w:pPr>
      <w:outlineLvl w:val="5"/>
    </w:pPr>
  </w:style>
  <w:style w:type="paragraph" w:customStyle="1" w:styleId="44">
    <w:name w:val="三级条标题"/>
    <w:basedOn w:val="45"/>
    <w:next w:val="24"/>
    <w:uiPriority w:val="0"/>
    <w:pPr>
      <w:numPr>
        <w:numId w:val="0"/>
      </w:numPr>
      <w:outlineLvl w:val="4"/>
    </w:pPr>
  </w:style>
  <w:style w:type="paragraph" w:customStyle="1" w:styleId="45">
    <w:name w:val="二级条标题"/>
    <w:basedOn w:val="46"/>
    <w:next w:val="24"/>
    <w:qFormat/>
    <w:uiPriority w:val="0"/>
    <w:pPr>
      <w:numPr>
        <w:ilvl w:val="1"/>
        <w:numId w:val="0"/>
      </w:numPr>
      <w:spacing w:before="50" w:after="50"/>
      <w:ind w:left="0"/>
      <w:outlineLvl w:val="3"/>
    </w:pPr>
  </w:style>
  <w:style w:type="paragraph" w:customStyle="1" w:styleId="46">
    <w:name w:val="一级条标题"/>
    <w:next w:val="24"/>
    <w:qFormat/>
    <w:uiPriority w:val="0"/>
    <w:pPr>
      <w:numPr>
        <w:ilvl w:val="1"/>
        <w:numId w:val="2"/>
      </w:numPr>
      <w:spacing w:beforeLines="50" w:afterLines="50"/>
      <w:outlineLvl w:val="2"/>
    </w:pPr>
    <w:rPr>
      <w:rFonts w:ascii="黑体" w:eastAsia="黑体"/>
      <w:sz w:val="21"/>
      <w:szCs w:val="21"/>
    </w:rPr>
  </w:style>
  <w:style w:type="paragraph" w:customStyle="1" w:styleId="47">
    <w:name w:val="其他标准称谓"/>
    <w:next w:val="1"/>
    <w:qFormat/>
    <w:uiPriority w:val="0"/>
    <w:pPr>
      <w:spacing w:line="0" w:lineRule="atLeast"/>
      <w:jc w:val="distribute"/>
    </w:pPr>
    <w:rPr>
      <w:rFonts w:ascii="黑体" w:hAnsi="宋体" w:eastAsia="黑体"/>
      <w:spacing w:val="-40"/>
      <w:sz w:val="48"/>
      <w:szCs w:val="52"/>
    </w:rPr>
  </w:style>
  <w:style w:type="paragraph" w:customStyle="1" w:styleId="48">
    <w:name w:val="附录四级条标题"/>
    <w:basedOn w:val="49"/>
    <w:next w:val="24"/>
    <w:uiPriority w:val="0"/>
    <w:pPr>
      <w:numPr>
        <w:numId w:val="0"/>
      </w:numPr>
      <w:outlineLvl w:val="5"/>
    </w:pPr>
  </w:style>
  <w:style w:type="paragraph" w:customStyle="1" w:styleId="49">
    <w:name w:val="附录三级条标题"/>
    <w:basedOn w:val="50"/>
    <w:next w:val="24"/>
    <w:qFormat/>
    <w:uiPriority w:val="0"/>
    <w:pPr>
      <w:numPr>
        <w:ilvl w:val="3"/>
        <w:numId w:val="0"/>
      </w:numPr>
      <w:outlineLvl w:val="4"/>
    </w:pPr>
  </w:style>
  <w:style w:type="paragraph" w:customStyle="1" w:styleId="50">
    <w:name w:val="附录二级条标题"/>
    <w:basedOn w:val="1"/>
    <w:next w:val="24"/>
    <w:qFormat/>
    <w:uiPriority w:val="0"/>
    <w:pPr>
      <w:widowControl/>
      <w:numPr>
        <w:ilvl w:val="3"/>
        <w:numId w:val="3"/>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51">
    <w:name w:val="附录五级条标题"/>
    <w:basedOn w:val="48"/>
    <w:next w:val="24"/>
    <w:qFormat/>
    <w:uiPriority w:val="0"/>
    <w:pPr>
      <w:numPr>
        <w:numId w:val="0"/>
      </w:numPr>
      <w:outlineLvl w:val="6"/>
    </w:pPr>
  </w:style>
  <w:style w:type="paragraph" w:customStyle="1" w:styleId="52">
    <w:name w:val="附录表标号"/>
    <w:basedOn w:val="1"/>
    <w:next w:val="24"/>
    <w:qFormat/>
    <w:uiPriority w:val="0"/>
    <w:pPr>
      <w:numPr>
        <w:ilvl w:val="0"/>
        <w:numId w:val="4"/>
      </w:numPr>
      <w:spacing w:line="14" w:lineRule="exact"/>
      <w:ind w:left="811" w:hanging="448"/>
      <w:jc w:val="center"/>
      <w:outlineLvl w:val="0"/>
    </w:pPr>
    <w:rPr>
      <w:color w:val="FFFFFF"/>
    </w:rPr>
  </w:style>
  <w:style w:type="paragraph" w:customStyle="1" w:styleId="53">
    <w:name w:val="封面标准英文名称"/>
    <w:basedOn w:val="54"/>
    <w:qFormat/>
    <w:uiPriority w:val="0"/>
    <w:pPr>
      <w:spacing w:before="370" w:line="400" w:lineRule="exact"/>
    </w:pPr>
    <w:rPr>
      <w:rFonts w:ascii="Times New Roman"/>
      <w:sz w:val="28"/>
      <w:szCs w:val="28"/>
    </w:rPr>
  </w:style>
  <w:style w:type="paragraph" w:customStyle="1" w:styleId="54">
    <w:name w:val="封面标准名称"/>
    <w:uiPriority w:val="0"/>
    <w:pPr>
      <w:widowControl w:val="0"/>
      <w:spacing w:line="680" w:lineRule="exact"/>
      <w:jc w:val="center"/>
      <w:textAlignment w:val="center"/>
    </w:pPr>
    <w:rPr>
      <w:rFonts w:ascii="黑体" w:eastAsia="黑体"/>
      <w:sz w:val="52"/>
    </w:rPr>
  </w:style>
  <w:style w:type="paragraph" w:customStyle="1" w:styleId="55">
    <w:name w:val="封面标准英文名称2"/>
    <w:basedOn w:val="53"/>
    <w:uiPriority w:val="0"/>
  </w:style>
  <w:style w:type="paragraph" w:customStyle="1" w:styleId="56">
    <w:name w:val="正文公式编号制表符"/>
    <w:basedOn w:val="24"/>
    <w:next w:val="24"/>
    <w:qFormat/>
    <w:uiPriority w:val="0"/>
    <w:pPr>
      <w:ind w:firstLine="0" w:firstLineChars="0"/>
    </w:pPr>
  </w:style>
  <w:style w:type="paragraph" w:customStyle="1" w:styleId="57">
    <w:name w:val="示例后文字"/>
    <w:basedOn w:val="24"/>
    <w:next w:val="24"/>
    <w:qFormat/>
    <w:uiPriority w:val="0"/>
    <w:pPr>
      <w:ind w:firstLine="360"/>
    </w:pPr>
    <w:rPr>
      <w:sz w:val="18"/>
    </w:rPr>
  </w:style>
  <w:style w:type="paragraph" w:customStyle="1" w:styleId="58">
    <w:name w:val="附录图标号"/>
    <w:basedOn w:val="1"/>
    <w:qFormat/>
    <w:uiPriority w:val="0"/>
    <w:pPr>
      <w:keepNext/>
      <w:pageBreakBefore/>
      <w:widowControl/>
      <w:numPr>
        <w:ilvl w:val="0"/>
        <w:numId w:val="5"/>
      </w:numPr>
      <w:spacing w:line="14" w:lineRule="exact"/>
      <w:ind w:left="0" w:firstLine="363"/>
      <w:jc w:val="center"/>
      <w:outlineLvl w:val="0"/>
    </w:pPr>
    <w:rPr>
      <w:color w:val="FFFFFF"/>
    </w:rPr>
  </w:style>
  <w:style w:type="paragraph" w:customStyle="1" w:styleId="59">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60">
    <w:name w:val="其他实施日期"/>
    <w:basedOn w:val="61"/>
    <w:uiPriority w:val="0"/>
  </w:style>
  <w:style w:type="paragraph" w:customStyle="1" w:styleId="61">
    <w:name w:val="实施日期"/>
    <w:basedOn w:val="62"/>
    <w:uiPriority w:val="0"/>
    <w:pPr>
      <w:jc w:val="right"/>
    </w:pPr>
  </w:style>
  <w:style w:type="paragraph" w:customStyle="1" w:styleId="62">
    <w:name w:val="发布日期"/>
    <w:uiPriority w:val="0"/>
    <w:rPr>
      <w:rFonts w:eastAsia="黑体"/>
      <w:sz w:val="28"/>
    </w:rPr>
  </w:style>
  <w:style w:type="paragraph" w:customStyle="1" w:styleId="63">
    <w:name w:val="四级无"/>
    <w:basedOn w:val="43"/>
    <w:uiPriority w:val="0"/>
    <w:pPr>
      <w:spacing w:beforeLines="0"/>
    </w:pPr>
    <w:rPr>
      <w:rFonts w:ascii="宋体" w:eastAsia="宋体"/>
    </w:rPr>
  </w:style>
  <w:style w:type="paragraph" w:customStyle="1" w:styleId="64">
    <w:name w:val="封面一致性程度标识2"/>
    <w:basedOn w:val="65"/>
    <w:uiPriority w:val="0"/>
  </w:style>
  <w:style w:type="paragraph" w:customStyle="1" w:styleId="65">
    <w:name w:val="封面一致性程度标识"/>
    <w:basedOn w:val="53"/>
    <w:uiPriority w:val="0"/>
    <w:pPr>
      <w:spacing w:before="440"/>
    </w:pPr>
    <w:rPr>
      <w:rFonts w:ascii="宋体" w:eastAsia="宋体"/>
    </w:rPr>
  </w:style>
  <w:style w:type="paragraph" w:customStyle="1" w:styleId="66">
    <w:name w:val="图表脚注说明"/>
    <w:basedOn w:val="1"/>
    <w:uiPriority w:val="0"/>
    <w:pPr>
      <w:ind w:left="544" w:hanging="181"/>
    </w:pPr>
    <w:rPr>
      <w:rFonts w:ascii="宋体"/>
      <w:sz w:val="18"/>
      <w:szCs w:val="18"/>
    </w:rPr>
  </w:style>
  <w:style w:type="paragraph" w:customStyle="1" w:styleId="67">
    <w:name w:val="附录一级无"/>
    <w:basedOn w:val="68"/>
    <w:uiPriority w:val="0"/>
    <w:pPr>
      <w:spacing w:beforeLines="0"/>
    </w:pPr>
    <w:rPr>
      <w:rFonts w:ascii="宋体" w:eastAsia="宋体"/>
      <w:szCs w:val="21"/>
    </w:rPr>
  </w:style>
  <w:style w:type="paragraph" w:customStyle="1" w:styleId="68">
    <w:name w:val="附录一级条标题"/>
    <w:basedOn w:val="69"/>
    <w:next w:val="24"/>
    <w:uiPriority w:val="0"/>
    <w:pPr>
      <w:numPr>
        <w:ilvl w:val="1"/>
        <w:numId w:val="0"/>
      </w:numPr>
      <w:autoSpaceDN w:val="0"/>
      <w:spacing w:beforeLines="50" w:afterLines="50"/>
      <w:outlineLvl w:val="2"/>
    </w:pPr>
  </w:style>
  <w:style w:type="paragraph" w:customStyle="1" w:styleId="69">
    <w:name w:val="附录章标题"/>
    <w:next w:val="24"/>
    <w:uiPriority w:val="0"/>
    <w:pPr>
      <w:numPr>
        <w:ilvl w:val="1"/>
        <w:numId w:val="3"/>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70">
    <w:name w:val="附录标识"/>
    <w:basedOn w:val="1"/>
    <w:next w:val="24"/>
    <w:uiPriority w:val="0"/>
    <w:pPr>
      <w:keepNext/>
      <w:widowControl/>
      <w:numPr>
        <w:ilvl w:val="0"/>
        <w:numId w:val="3"/>
      </w:numPr>
      <w:shd w:val="clear" w:color="FFFFFF" w:fill="FFFFFF"/>
      <w:tabs>
        <w:tab w:val="left" w:pos="6405"/>
      </w:tabs>
      <w:spacing w:before="640" w:after="280"/>
      <w:jc w:val="center"/>
      <w:outlineLvl w:val="0"/>
    </w:pPr>
    <w:rPr>
      <w:rFonts w:ascii="黑体" w:eastAsia="黑体"/>
      <w:kern w:val="0"/>
      <w:szCs w:val="20"/>
    </w:rPr>
  </w:style>
  <w:style w:type="paragraph" w:customStyle="1" w:styleId="71">
    <w:name w:val="示例内容"/>
    <w:uiPriority w:val="0"/>
    <w:pPr>
      <w:ind w:firstLine="200" w:firstLineChars="200"/>
    </w:pPr>
    <w:rPr>
      <w:rFonts w:ascii="宋体"/>
      <w:sz w:val="18"/>
      <w:szCs w:val="18"/>
    </w:rPr>
  </w:style>
  <w:style w:type="paragraph" w:customStyle="1" w:styleId="72">
    <w:name w:val="其他发布日期"/>
    <w:basedOn w:val="62"/>
    <w:uiPriority w:val="0"/>
  </w:style>
  <w:style w:type="paragraph" w:customStyle="1" w:styleId="73">
    <w:name w:val="正文表标题"/>
    <w:next w:val="24"/>
    <w:uiPriority w:val="0"/>
    <w:pPr>
      <w:numPr>
        <w:ilvl w:val="0"/>
        <w:numId w:val="6"/>
      </w:numPr>
      <w:tabs>
        <w:tab w:val="left" w:pos="360"/>
      </w:tabs>
      <w:spacing w:beforeLines="50" w:afterLines="50"/>
      <w:jc w:val="center"/>
    </w:pPr>
    <w:rPr>
      <w:rFonts w:ascii="黑体" w:eastAsia="黑体"/>
      <w:sz w:val="21"/>
    </w:rPr>
  </w:style>
  <w:style w:type="paragraph" w:customStyle="1" w:styleId="74">
    <w:name w:val="List Paragraph"/>
    <w:basedOn w:val="1"/>
    <w:qFormat/>
    <w:uiPriority w:val="34"/>
    <w:pPr>
      <w:ind w:firstLine="420" w:firstLineChars="200"/>
    </w:pPr>
  </w:style>
  <w:style w:type="paragraph" w:customStyle="1" w:styleId="75">
    <w:name w:val="图标脚注说明"/>
    <w:basedOn w:val="24"/>
    <w:uiPriority w:val="0"/>
    <w:pPr>
      <w:ind w:left="840" w:hanging="420" w:firstLineChars="0"/>
    </w:pPr>
    <w:rPr>
      <w:sz w:val="18"/>
      <w:szCs w:val="18"/>
    </w:rPr>
  </w:style>
  <w:style w:type="paragraph" w:customStyle="1" w:styleId="76">
    <w:name w:val="封面标准文稿编辑信息"/>
    <w:basedOn w:val="77"/>
    <w:uiPriority w:val="0"/>
    <w:pPr>
      <w:spacing w:before="180" w:line="180" w:lineRule="exact"/>
    </w:pPr>
    <w:rPr>
      <w:sz w:val="21"/>
    </w:rPr>
  </w:style>
  <w:style w:type="paragraph" w:customStyle="1" w:styleId="77">
    <w:name w:val="封面标准文稿类别"/>
    <w:basedOn w:val="65"/>
    <w:uiPriority w:val="0"/>
    <w:pPr>
      <w:spacing w:after="160" w:line="240" w:lineRule="auto"/>
    </w:pPr>
    <w:rPr>
      <w:sz w:val="24"/>
    </w:rPr>
  </w:style>
  <w:style w:type="paragraph" w:customStyle="1" w:styleId="78">
    <w:name w:val="封面标准代替信息"/>
    <w:uiPriority w:val="0"/>
    <w:pPr>
      <w:spacing w:before="57" w:line="280" w:lineRule="exact"/>
      <w:jc w:val="right"/>
    </w:pPr>
    <w:rPr>
      <w:rFonts w:ascii="宋体"/>
      <w:sz w:val="21"/>
      <w:szCs w:val="21"/>
    </w:rPr>
  </w:style>
  <w:style w:type="paragraph" w:customStyle="1" w:styleId="79">
    <w:name w:val="封面标准文稿类别2"/>
    <w:basedOn w:val="77"/>
    <w:uiPriority w:val="0"/>
  </w:style>
  <w:style w:type="paragraph" w:customStyle="1" w:styleId="80">
    <w:name w:val="目次、索引正文"/>
    <w:uiPriority w:val="0"/>
    <w:pPr>
      <w:spacing w:line="320" w:lineRule="exact"/>
      <w:jc w:val="both"/>
    </w:pPr>
    <w:rPr>
      <w:rFonts w:ascii="宋体"/>
      <w:sz w:val="21"/>
    </w:rPr>
  </w:style>
  <w:style w:type="paragraph" w:customStyle="1" w:styleId="81">
    <w:name w:val="列项◆（三级）"/>
    <w:basedOn w:val="1"/>
    <w:uiPriority w:val="0"/>
    <w:pPr>
      <w:numPr>
        <w:ilvl w:val="2"/>
        <w:numId w:val="7"/>
      </w:numPr>
    </w:pPr>
    <w:rPr>
      <w:rFonts w:ascii="宋体"/>
      <w:szCs w:val="21"/>
    </w:rPr>
  </w:style>
  <w:style w:type="paragraph" w:customStyle="1" w:styleId="82">
    <w:name w:val="标准书眉_偶数页"/>
    <w:basedOn w:val="83"/>
    <w:next w:val="1"/>
    <w:uiPriority w:val="0"/>
    <w:pPr>
      <w:jc w:val="left"/>
    </w:pPr>
  </w:style>
  <w:style w:type="paragraph" w:customStyle="1" w:styleId="83">
    <w:name w:val="标准书眉_奇数页"/>
    <w:next w:val="1"/>
    <w:uiPriority w:val="0"/>
    <w:pPr>
      <w:tabs>
        <w:tab w:val="center" w:pos="4154"/>
        <w:tab w:val="right" w:pos="8306"/>
      </w:tabs>
      <w:spacing w:after="220"/>
      <w:jc w:val="right"/>
    </w:pPr>
    <w:rPr>
      <w:rFonts w:ascii="黑体" w:eastAsia="黑体"/>
      <w:sz w:val="21"/>
      <w:szCs w:val="21"/>
    </w:rPr>
  </w:style>
  <w:style w:type="paragraph" w:customStyle="1" w:styleId="84">
    <w:name w:val="参考文献、索引标题"/>
    <w:basedOn w:val="1"/>
    <w:next w:val="24"/>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85">
    <w:name w:val="注×：（正文）"/>
    <w:uiPriority w:val="0"/>
    <w:pPr>
      <w:numPr>
        <w:ilvl w:val="0"/>
        <w:numId w:val="8"/>
      </w:numPr>
      <w:jc w:val="both"/>
    </w:pPr>
    <w:rPr>
      <w:rFonts w:ascii="宋体"/>
      <w:sz w:val="18"/>
      <w:szCs w:val="18"/>
    </w:rPr>
  </w:style>
  <w:style w:type="paragraph" w:customStyle="1" w:styleId="86">
    <w:name w:val="标准书脚_奇数页"/>
    <w:uiPriority w:val="0"/>
    <w:pPr>
      <w:spacing w:before="120"/>
      <w:ind w:right="198"/>
      <w:jc w:val="right"/>
    </w:pPr>
    <w:rPr>
      <w:rFonts w:ascii="宋体"/>
      <w:sz w:val="18"/>
      <w:szCs w:val="18"/>
    </w:rPr>
  </w:style>
  <w:style w:type="paragraph" w:customStyle="1" w:styleId="87">
    <w:name w:val="编号列项（三级）"/>
    <w:uiPriority w:val="0"/>
    <w:rPr>
      <w:rFonts w:ascii="宋体"/>
      <w:sz w:val="21"/>
    </w:rPr>
  </w:style>
  <w:style w:type="paragraph" w:customStyle="1" w:styleId="88">
    <w:name w:val="章标题"/>
    <w:next w:val="24"/>
    <w:uiPriority w:val="0"/>
    <w:pPr>
      <w:numPr>
        <w:ilvl w:val="0"/>
        <w:numId w:val="2"/>
      </w:numPr>
      <w:spacing w:beforeLines="100" w:afterLines="100"/>
      <w:jc w:val="both"/>
      <w:outlineLvl w:val="1"/>
    </w:pPr>
    <w:rPr>
      <w:rFonts w:ascii="黑体" w:eastAsia="黑体"/>
      <w:sz w:val="21"/>
    </w:rPr>
  </w:style>
  <w:style w:type="paragraph" w:customStyle="1" w:styleId="89">
    <w:name w:val="示例"/>
    <w:next w:val="71"/>
    <w:uiPriority w:val="0"/>
    <w:pPr>
      <w:widowControl w:val="0"/>
      <w:numPr>
        <w:ilvl w:val="0"/>
        <w:numId w:val="9"/>
      </w:numPr>
      <w:jc w:val="both"/>
    </w:pPr>
    <w:rPr>
      <w:rFonts w:ascii="宋体"/>
      <w:sz w:val="18"/>
      <w:szCs w:val="18"/>
    </w:rPr>
  </w:style>
  <w:style w:type="paragraph" w:customStyle="1" w:styleId="90">
    <w:name w:val="封面标准号2"/>
    <w:uiPriority w:val="0"/>
    <w:pPr>
      <w:spacing w:before="357" w:line="280" w:lineRule="exact"/>
      <w:jc w:val="right"/>
    </w:pPr>
    <w:rPr>
      <w:rFonts w:ascii="黑体" w:eastAsia="黑体"/>
      <w:sz w:val="28"/>
      <w:szCs w:val="28"/>
    </w:rPr>
  </w:style>
  <w:style w:type="paragraph" w:customStyle="1" w:styleId="91">
    <w:name w:val="列项——（一级）"/>
    <w:uiPriority w:val="0"/>
    <w:pPr>
      <w:widowControl w:val="0"/>
      <w:numPr>
        <w:ilvl w:val="0"/>
        <w:numId w:val="7"/>
      </w:numPr>
      <w:jc w:val="both"/>
    </w:pPr>
    <w:rPr>
      <w:rFonts w:ascii="宋体"/>
      <w:sz w:val="21"/>
    </w:rPr>
  </w:style>
  <w:style w:type="paragraph" w:customStyle="1" w:styleId="92">
    <w:name w:val="示例×："/>
    <w:basedOn w:val="88"/>
    <w:qFormat/>
    <w:uiPriority w:val="0"/>
    <w:pPr>
      <w:numPr>
        <w:ilvl w:val="0"/>
        <w:numId w:val="10"/>
      </w:numPr>
      <w:spacing w:beforeLines="0"/>
      <w:outlineLvl w:val="9"/>
    </w:pPr>
    <w:rPr>
      <w:rFonts w:ascii="宋体" w:eastAsia="宋体"/>
      <w:sz w:val="18"/>
      <w:szCs w:val="18"/>
    </w:rPr>
  </w:style>
  <w:style w:type="paragraph" w:customStyle="1" w:styleId="93">
    <w:name w:val="标准书脚_偶数页"/>
    <w:uiPriority w:val="0"/>
    <w:pPr>
      <w:spacing w:before="120"/>
      <w:ind w:left="221"/>
    </w:pPr>
    <w:rPr>
      <w:rFonts w:ascii="宋体"/>
      <w:sz w:val="18"/>
      <w:szCs w:val="18"/>
    </w:rPr>
  </w:style>
  <w:style w:type="paragraph" w:customStyle="1" w:styleId="94">
    <w:name w:val="发布部门"/>
    <w:next w:val="24"/>
    <w:qFormat/>
    <w:uiPriority w:val="0"/>
    <w:pPr>
      <w:jc w:val="center"/>
    </w:pPr>
    <w:rPr>
      <w:rFonts w:ascii="宋体"/>
      <w:b/>
      <w:spacing w:val="20"/>
      <w:w w:val="135"/>
      <w:sz w:val="28"/>
    </w:rPr>
  </w:style>
  <w:style w:type="paragraph" w:customStyle="1" w:styleId="95">
    <w:name w:val="注："/>
    <w:next w:val="24"/>
    <w:uiPriority w:val="0"/>
    <w:pPr>
      <w:widowControl w:val="0"/>
      <w:numPr>
        <w:ilvl w:val="0"/>
        <w:numId w:val="11"/>
      </w:numPr>
      <w:autoSpaceDE w:val="0"/>
      <w:autoSpaceDN w:val="0"/>
      <w:jc w:val="both"/>
    </w:pPr>
    <w:rPr>
      <w:rFonts w:ascii="宋体"/>
      <w:sz w:val="18"/>
      <w:szCs w:val="18"/>
    </w:rPr>
  </w:style>
  <w:style w:type="paragraph" w:customStyle="1" w:styleId="96">
    <w:name w:val="标准称谓"/>
    <w:next w:val="1"/>
    <w:uiPriority w:val="0"/>
    <w:pPr>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97">
    <w:name w:val="列项●（二级）"/>
    <w:uiPriority w:val="0"/>
    <w:pPr>
      <w:numPr>
        <w:ilvl w:val="1"/>
        <w:numId w:val="7"/>
      </w:numPr>
      <w:tabs>
        <w:tab w:val="left" w:pos="840"/>
      </w:tabs>
      <w:jc w:val="both"/>
    </w:pPr>
    <w:rPr>
      <w:rFonts w:ascii="宋体"/>
      <w:sz w:val="21"/>
    </w:rPr>
  </w:style>
  <w:style w:type="paragraph" w:customStyle="1" w:styleId="98">
    <w:name w:val="标准标志"/>
    <w:next w:val="1"/>
    <w:uiPriority w:val="0"/>
    <w:pPr>
      <w:shd w:val="solid" w:color="FFFFFF" w:fill="FFFFFF"/>
      <w:spacing w:line="0" w:lineRule="atLeast"/>
      <w:jc w:val="right"/>
    </w:pPr>
    <w:rPr>
      <w:b/>
      <w:w w:val="170"/>
      <w:sz w:val="96"/>
      <w:szCs w:val="96"/>
    </w:rPr>
  </w:style>
  <w:style w:type="paragraph" w:customStyle="1" w:styleId="99">
    <w:name w:val="目次、标准名称标题"/>
    <w:basedOn w:val="1"/>
    <w:next w:val="24"/>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00">
    <w:name w:val="数字编号列项（二级）"/>
    <w:uiPriority w:val="0"/>
    <w:pPr>
      <w:numPr>
        <w:ilvl w:val="1"/>
        <w:numId w:val="12"/>
      </w:numPr>
      <w:tabs>
        <w:tab w:val="left" w:pos="840"/>
      </w:tabs>
      <w:jc w:val="both"/>
    </w:pPr>
    <w:rPr>
      <w:rFonts w:ascii="宋体"/>
      <w:sz w:val="21"/>
    </w:rPr>
  </w:style>
  <w:style w:type="paragraph" w:customStyle="1" w:styleId="101">
    <w:name w:val="字母编号列项（一级）"/>
    <w:uiPriority w:val="0"/>
    <w:pPr>
      <w:numPr>
        <w:ilvl w:val="0"/>
        <w:numId w:val="12"/>
      </w:numPr>
      <w:jc w:val="both"/>
    </w:pPr>
    <w:rPr>
      <w:rFonts w:ascii="宋体"/>
      <w:sz w:val="21"/>
    </w:rPr>
  </w:style>
  <w:style w:type="paragraph" w:customStyle="1" w:styleId="102">
    <w:name w:val="注×："/>
    <w:uiPriority w:val="0"/>
    <w:pPr>
      <w:widowControl w:val="0"/>
      <w:numPr>
        <w:ilvl w:val="0"/>
        <w:numId w:val="13"/>
      </w:numPr>
      <w:autoSpaceDE w:val="0"/>
      <w:autoSpaceDN w:val="0"/>
      <w:jc w:val="both"/>
    </w:pPr>
    <w:rPr>
      <w:rFonts w:ascii="宋体"/>
      <w:sz w:val="18"/>
      <w:szCs w:val="18"/>
    </w:rPr>
  </w:style>
  <w:style w:type="paragraph" w:customStyle="1" w:styleId="103">
    <w:name w:val="标准书眉一"/>
    <w:uiPriority w:val="0"/>
    <w:pPr>
      <w:jc w:val="both"/>
    </w:pPr>
  </w:style>
  <w:style w:type="paragraph" w:customStyle="1" w:styleId="104">
    <w:name w:val="二级无"/>
    <w:basedOn w:val="45"/>
    <w:uiPriority w:val="0"/>
    <w:pPr>
      <w:spacing w:beforeLines="0"/>
    </w:pPr>
    <w:rPr>
      <w:rFonts w:ascii="宋体" w:eastAsia="宋体"/>
    </w:rPr>
  </w:style>
  <w:style w:type="paragraph" w:customStyle="1" w:styleId="105">
    <w:name w:val="参考文献"/>
    <w:basedOn w:val="1"/>
    <w:next w:val="24"/>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06">
    <w:name w:val="注：（正文）"/>
    <w:basedOn w:val="95"/>
    <w:next w:val="24"/>
    <w:uiPriority w:val="0"/>
    <w:pPr>
      <w:numPr>
        <w:ilvl w:val="0"/>
        <w:numId w:val="14"/>
      </w:numPr>
    </w:pPr>
  </w:style>
  <w:style w:type="paragraph" w:customStyle="1" w:styleId="107">
    <w:name w:val="图的脚注"/>
    <w:next w:val="24"/>
    <w:qFormat/>
    <w:uiPriority w:val="0"/>
    <w:pPr>
      <w:widowControl w:val="0"/>
      <w:ind w:left="840" w:leftChars="200" w:hanging="420" w:hangingChars="200"/>
      <w:jc w:val="both"/>
    </w:pPr>
    <w:rPr>
      <w:rFonts w:ascii="宋体"/>
      <w:sz w:val="18"/>
    </w:rPr>
  </w:style>
  <w:style w:type="paragraph" w:customStyle="1" w:styleId="108">
    <w:name w:val="三级无"/>
    <w:basedOn w:val="44"/>
    <w:uiPriority w:val="0"/>
    <w:pPr>
      <w:spacing w:beforeLines="0"/>
    </w:pPr>
    <w:rPr>
      <w:rFonts w:ascii="宋体" w:eastAsia="宋体"/>
    </w:rPr>
  </w:style>
  <w:style w:type="paragraph" w:customStyle="1" w:styleId="109">
    <w:name w:val="列项说明"/>
    <w:basedOn w:val="1"/>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10">
    <w:name w:val="附录四级无"/>
    <w:basedOn w:val="48"/>
    <w:uiPriority w:val="0"/>
    <w:pPr>
      <w:spacing w:beforeLines="0"/>
    </w:pPr>
    <w:rPr>
      <w:rFonts w:ascii="宋体" w:eastAsia="宋体"/>
      <w:szCs w:val="21"/>
    </w:rPr>
  </w:style>
  <w:style w:type="paragraph" w:customStyle="1" w:styleId="111">
    <w:name w:val="封面标准号1"/>
    <w:uiPriority w:val="0"/>
    <w:pPr>
      <w:widowControl w:val="0"/>
      <w:kinsoku w:val="0"/>
      <w:overflowPunct w:val="0"/>
      <w:autoSpaceDE w:val="0"/>
      <w:autoSpaceDN w:val="0"/>
      <w:spacing w:before="308"/>
      <w:jc w:val="right"/>
      <w:textAlignment w:val="center"/>
    </w:pPr>
    <w:rPr>
      <w:sz w:val="28"/>
    </w:rPr>
  </w:style>
  <w:style w:type="paragraph" w:customStyle="1" w:styleId="112">
    <w:name w:val="正文图标题"/>
    <w:next w:val="24"/>
    <w:uiPriority w:val="0"/>
    <w:pPr>
      <w:numPr>
        <w:ilvl w:val="0"/>
        <w:numId w:val="15"/>
      </w:numPr>
      <w:spacing w:beforeLines="50" w:afterLines="50"/>
      <w:jc w:val="center"/>
    </w:pPr>
    <w:rPr>
      <w:rFonts w:ascii="黑体" w:eastAsia="黑体"/>
      <w:sz w:val="21"/>
    </w:rPr>
  </w:style>
  <w:style w:type="paragraph" w:customStyle="1" w:styleId="113">
    <w:name w:val="附录表标题"/>
    <w:basedOn w:val="1"/>
    <w:next w:val="24"/>
    <w:uiPriority w:val="0"/>
    <w:pPr>
      <w:numPr>
        <w:ilvl w:val="1"/>
        <w:numId w:val="4"/>
      </w:numPr>
      <w:tabs>
        <w:tab w:val="left" w:pos="0"/>
      </w:tabs>
      <w:spacing w:beforeLines="50" w:afterLines="50"/>
      <w:jc w:val="center"/>
    </w:pPr>
    <w:rPr>
      <w:rFonts w:ascii="黑体" w:eastAsia="黑体"/>
      <w:szCs w:val="21"/>
    </w:rPr>
  </w:style>
  <w:style w:type="paragraph" w:customStyle="1" w:styleId="114">
    <w:name w:val="一级无"/>
    <w:basedOn w:val="46"/>
    <w:uiPriority w:val="0"/>
    <w:pPr>
      <w:spacing w:beforeLines="0"/>
    </w:pPr>
    <w:rPr>
      <w:rFonts w:ascii="宋体" w:eastAsia="宋体"/>
    </w:rPr>
  </w:style>
  <w:style w:type="paragraph" w:customStyle="1" w:styleId="115">
    <w:name w:val="其他发布部门"/>
    <w:basedOn w:val="94"/>
    <w:uiPriority w:val="0"/>
    <w:pPr>
      <w:spacing w:line="0" w:lineRule="atLeast"/>
    </w:pPr>
    <w:rPr>
      <w:rFonts w:ascii="黑体" w:eastAsia="黑体"/>
      <w:b w:val="0"/>
    </w:rPr>
  </w:style>
  <w:style w:type="paragraph" w:customStyle="1" w:styleId="116">
    <w:name w:val="附录数字编号列项（二级）"/>
    <w:qFormat/>
    <w:uiPriority w:val="0"/>
    <w:pPr>
      <w:numPr>
        <w:ilvl w:val="1"/>
        <w:numId w:val="16"/>
      </w:numPr>
      <w:tabs>
        <w:tab w:val="left" w:pos="839"/>
      </w:tabs>
    </w:pPr>
    <w:rPr>
      <w:rFonts w:ascii="宋体"/>
      <w:sz w:val="21"/>
    </w:rPr>
  </w:style>
  <w:style w:type="paragraph" w:customStyle="1" w:styleId="117">
    <w:name w:val="封面正文"/>
    <w:uiPriority w:val="0"/>
    <w:pPr>
      <w:jc w:val="both"/>
    </w:pPr>
  </w:style>
  <w:style w:type="paragraph" w:customStyle="1" w:styleId="118">
    <w:name w:val="附录字母编号列项（一级）"/>
    <w:qFormat/>
    <w:uiPriority w:val="0"/>
    <w:pPr>
      <w:numPr>
        <w:ilvl w:val="0"/>
        <w:numId w:val="16"/>
      </w:numPr>
    </w:pPr>
    <w:rPr>
      <w:rFonts w:ascii="宋体"/>
      <w:sz w:val="21"/>
    </w:rPr>
  </w:style>
  <w:style w:type="paragraph" w:customStyle="1" w:styleId="119">
    <w:name w:val="附录图标题"/>
    <w:basedOn w:val="1"/>
    <w:next w:val="24"/>
    <w:uiPriority w:val="0"/>
    <w:pPr>
      <w:numPr>
        <w:ilvl w:val="1"/>
        <w:numId w:val="5"/>
      </w:numPr>
      <w:tabs>
        <w:tab w:val="left" w:pos="363"/>
      </w:tabs>
      <w:spacing w:beforeLines="50" w:afterLines="50"/>
      <w:ind w:left="0" w:firstLine="0"/>
      <w:jc w:val="center"/>
    </w:pPr>
    <w:rPr>
      <w:rFonts w:ascii="黑体" w:eastAsia="黑体"/>
      <w:szCs w:val="21"/>
    </w:rPr>
  </w:style>
  <w:style w:type="paragraph" w:customStyle="1" w:styleId="120">
    <w:name w:val="附录标题"/>
    <w:basedOn w:val="24"/>
    <w:next w:val="24"/>
    <w:uiPriority w:val="0"/>
    <w:pPr>
      <w:ind w:firstLine="0" w:firstLineChars="0"/>
      <w:jc w:val="center"/>
    </w:pPr>
    <w:rPr>
      <w:rFonts w:ascii="黑体" w:eastAsia="黑体"/>
    </w:rPr>
  </w:style>
  <w:style w:type="paragraph" w:customStyle="1" w:styleId="121">
    <w:name w:val="前言、引言标题"/>
    <w:next w:val="24"/>
    <w:uiPriority w:val="0"/>
    <w:pPr>
      <w:keepNext/>
      <w:pageBreakBefore/>
      <w:shd w:val="clear" w:color="FFFFFF" w:fill="FFFFFF"/>
      <w:spacing w:before="640" w:after="560"/>
      <w:jc w:val="center"/>
      <w:outlineLvl w:val="0"/>
    </w:pPr>
    <w:rPr>
      <w:rFonts w:ascii="黑体" w:eastAsia="黑体"/>
      <w:sz w:val="32"/>
    </w:rPr>
  </w:style>
  <w:style w:type="paragraph" w:customStyle="1" w:styleId="122">
    <w:name w:val="附录五级无"/>
    <w:basedOn w:val="51"/>
    <w:uiPriority w:val="0"/>
    <w:pPr>
      <w:spacing w:beforeLines="0"/>
    </w:pPr>
    <w:rPr>
      <w:rFonts w:ascii="宋体" w:eastAsia="宋体"/>
      <w:szCs w:val="21"/>
    </w:rPr>
  </w:style>
  <w:style w:type="paragraph" w:customStyle="1" w:styleId="123">
    <w:name w:val="附录二级无"/>
    <w:basedOn w:val="50"/>
    <w:uiPriority w:val="0"/>
    <w:pPr>
      <w:tabs>
        <w:tab w:val="clear" w:pos="360"/>
      </w:tabs>
      <w:spacing w:beforeLines="0"/>
    </w:pPr>
    <w:rPr>
      <w:rFonts w:ascii="宋体" w:eastAsia="宋体"/>
      <w:szCs w:val="21"/>
    </w:rPr>
  </w:style>
  <w:style w:type="paragraph" w:customStyle="1" w:styleId="124">
    <w:name w:val="附录公式编号制表符"/>
    <w:basedOn w:val="1"/>
    <w:next w:val="24"/>
    <w:qFormat/>
    <w:uiPriority w:val="0"/>
    <w:pPr>
      <w:widowControl/>
      <w:tabs>
        <w:tab w:val="center" w:pos="4201"/>
        <w:tab w:val="right" w:leader="dot" w:pos="9298"/>
      </w:tabs>
      <w:autoSpaceDE w:val="0"/>
      <w:autoSpaceDN w:val="0"/>
    </w:pPr>
    <w:rPr>
      <w:rFonts w:ascii="宋体"/>
      <w:kern w:val="0"/>
      <w:szCs w:val="20"/>
    </w:rPr>
  </w:style>
  <w:style w:type="paragraph" w:customStyle="1" w:styleId="125">
    <w:name w:val="附录三级无"/>
    <w:basedOn w:val="49"/>
    <w:uiPriority w:val="0"/>
    <w:pPr>
      <w:spacing w:beforeLines="0"/>
    </w:pPr>
    <w:rPr>
      <w:rFonts w:ascii="宋体" w:eastAsia="宋体"/>
      <w:szCs w:val="21"/>
    </w:rPr>
  </w:style>
  <w:style w:type="paragraph" w:customStyle="1" w:styleId="126">
    <w:name w:val="列项说明数字编号"/>
    <w:uiPriority w:val="0"/>
    <w:pPr>
      <w:ind w:left="600" w:leftChars="400" w:hanging="200" w:hangingChars="200"/>
    </w:pPr>
    <w:rPr>
      <w:rFonts w:ascii="宋体"/>
      <w:sz w:val="21"/>
    </w:rPr>
  </w:style>
  <w:style w:type="paragraph" w:customStyle="1" w:styleId="127">
    <w:name w:val="封面标准文稿编辑信息2"/>
    <w:basedOn w:val="76"/>
    <w:uiPriority w:val="0"/>
  </w:style>
  <w:style w:type="paragraph" w:customStyle="1" w:styleId="128">
    <w:name w:val="条文脚注"/>
    <w:basedOn w:val="25"/>
    <w:uiPriority w:val="0"/>
    <w:pPr>
      <w:numPr>
        <w:ilvl w:val="0"/>
        <w:numId w:val="0"/>
      </w:numPr>
      <w:jc w:val="both"/>
    </w:pPr>
  </w:style>
  <w:style w:type="paragraph" w:customStyle="1" w:styleId="129">
    <w:name w:val="其他标准标志"/>
    <w:basedOn w:val="98"/>
    <w:uiPriority w:val="0"/>
    <w:rPr>
      <w:w w:val="130"/>
    </w:rPr>
  </w:style>
  <w:style w:type="paragraph" w:customStyle="1" w:styleId="130">
    <w:name w:val="终结线"/>
    <w:basedOn w:val="1"/>
    <w:uiPriority w:val="0"/>
  </w:style>
  <w:style w:type="paragraph" w:customStyle="1" w:styleId="131">
    <w:name w:val="文献分类号"/>
    <w:uiPriority w:val="0"/>
    <w:pPr>
      <w:widowControl w:val="0"/>
      <w:textAlignment w:val="center"/>
    </w:pPr>
    <w:rPr>
      <w:rFonts w:ascii="黑体" w:eastAsia="黑体"/>
      <w:sz w:val="21"/>
      <w:szCs w:val="21"/>
    </w:rPr>
  </w:style>
  <w:style w:type="paragraph" w:customStyle="1" w:styleId="132">
    <w:name w:val="封面标准名称2"/>
    <w:basedOn w:val="54"/>
    <w:uiPriority w:val="0"/>
    <w:pPr>
      <w:spacing w:beforeLines="630"/>
    </w:pPr>
  </w:style>
  <w:style w:type="paragraph" w:customStyle="1" w:styleId="133">
    <w:name w:val="修订1"/>
    <w:hidden/>
    <w:semiHidden/>
    <w:uiPriority w:val="99"/>
    <w:rPr>
      <w:kern w:val="2"/>
      <w:sz w:val="21"/>
      <w:szCs w:val="24"/>
    </w:rPr>
  </w:style>
  <w:style w:type="character" w:customStyle="1" w:styleId="134">
    <w:name w:val="发布"/>
    <w:qFormat/>
    <w:uiPriority w:val="0"/>
    <w:rPr>
      <w:rFonts w:ascii="黑体" w:eastAsia="黑体"/>
      <w:spacing w:val="85"/>
      <w:w w:val="100"/>
      <w:position w:val="3"/>
      <w:sz w:val="28"/>
      <w:szCs w:val="28"/>
    </w:rPr>
  </w:style>
  <w:style w:type="character" w:customStyle="1" w:styleId="135">
    <w:name w:val="附录公式 Char Char"/>
    <w:basedOn w:val="136"/>
    <w:link w:val="39"/>
    <w:qFormat/>
    <w:uiPriority w:val="0"/>
    <w:rPr>
      <w:rFonts w:ascii="宋体"/>
      <w:sz w:val="21"/>
      <w:lang w:val="en-US" w:eastAsia="zh-CN" w:bidi="ar-SA"/>
    </w:rPr>
  </w:style>
  <w:style w:type="character" w:customStyle="1" w:styleId="136">
    <w:name w:val="段 Char Char"/>
    <w:link w:val="24"/>
    <w:qFormat/>
    <w:uiPriority w:val="0"/>
    <w:rPr>
      <w:rFonts w:ascii="宋体"/>
      <w:sz w:val="21"/>
      <w:lang w:val="en-US" w:eastAsia="zh-CN" w:bidi="ar-SA"/>
    </w:rPr>
  </w:style>
  <w:style w:type="character" w:customStyle="1" w:styleId="137">
    <w:name w:val="首示例 Char Char"/>
    <w:link w:val="40"/>
    <w:qFormat/>
    <w:uiPriority w:val="0"/>
    <w:rPr>
      <w:rFonts w:ascii="宋体" w:hAnsi="宋体"/>
      <w:kern w:val="2"/>
      <w:sz w:val="18"/>
      <w:szCs w:val="18"/>
      <w:lang w:val="en-US" w:eastAsia="zh-CN" w:bidi="ar-SA"/>
    </w:rPr>
  </w:style>
  <w:style w:type="character" w:customStyle="1" w:styleId="138">
    <w:name w:val="标题 1 字符"/>
    <w:link w:val="2"/>
    <w:uiPriority w:val="0"/>
    <w:rPr>
      <w:b/>
      <w:bCs/>
      <w:kern w:val="44"/>
      <w:sz w:val="44"/>
      <w:szCs w:val="44"/>
    </w:rPr>
  </w:style>
  <w:style w:type="character" w:customStyle="1" w:styleId="139">
    <w:name w:val="页眉 字符1"/>
    <w:link w:val="19"/>
    <w:uiPriority w:val="99"/>
    <w:rPr>
      <w:kern w:val="2"/>
      <w:sz w:val="18"/>
      <w:szCs w:val="18"/>
    </w:rPr>
  </w:style>
  <w:style w:type="character" w:customStyle="1" w:styleId="140">
    <w:name w:val="页脚 字符1"/>
    <w:link w:val="18"/>
    <w:uiPriority w:val="99"/>
    <w:rPr>
      <w:kern w:val="2"/>
      <w:sz w:val="18"/>
      <w:szCs w:val="18"/>
    </w:rPr>
  </w:style>
  <w:style w:type="character" w:customStyle="1" w:styleId="141">
    <w:name w:val="批注框文本 字符"/>
    <w:link w:val="17"/>
    <w:uiPriority w:val="0"/>
    <w:rPr>
      <w:kern w:val="2"/>
      <w:sz w:val="18"/>
      <w:szCs w:val="18"/>
    </w:rPr>
  </w:style>
  <w:style w:type="character" w:customStyle="1" w:styleId="142">
    <w:name w:val="页脚 字符"/>
    <w:qFormat/>
    <w:uiPriority w:val="99"/>
  </w:style>
  <w:style w:type="character" w:customStyle="1" w:styleId="143">
    <w:name w:val="页眉 字符"/>
    <w:qFormat/>
    <w:uiPriority w:val="99"/>
  </w:style>
  <w:style w:type="character" w:customStyle="1" w:styleId="144">
    <w:name w:val="批注文字 字符"/>
    <w:basedOn w:val="32"/>
    <w:link w:val="4"/>
    <w:uiPriority w:val="0"/>
    <w:rPr>
      <w:kern w:val="2"/>
      <w:sz w:val="21"/>
      <w:szCs w:val="24"/>
    </w:rPr>
  </w:style>
  <w:style w:type="character" w:customStyle="1" w:styleId="145">
    <w:name w:val="批注主题 字符"/>
    <w:basedOn w:val="144"/>
    <w:link w:val="3"/>
    <w:uiPriority w:val="0"/>
    <w:rPr>
      <w:b/>
      <w:bCs/>
      <w:kern w:val="2"/>
      <w:sz w:val="21"/>
      <w:szCs w:val="24"/>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header" Target="header5.xml"/><Relationship Id="rId11" Type="http://schemas.openxmlformats.org/officeDocument/2006/relationships/footer" Target="footer3.xml"/><Relationship Id="rId12" Type="http://schemas.openxmlformats.org/officeDocument/2006/relationships/footer" Target="footer4.xml"/><Relationship Id="rId13" Type="http://schemas.openxmlformats.org/officeDocument/2006/relationships/header" Target="header6.xml"/><Relationship Id="rId14" Type="http://schemas.openxmlformats.org/officeDocument/2006/relationships/theme" Target="theme/theme1.xml"/><Relationship Id="rId15" Type="http://schemas.openxmlformats.org/officeDocument/2006/relationships/image" Target="media/image1.png"/><Relationship Id="rId16" Type="http://schemas.openxmlformats.org/officeDocument/2006/relationships/customXml" Target="../customXml/item1.xml"/><Relationship Id="rId17"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footer" Target="footer2.xml"/><Relationship Id="rId9"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7" textRotate="1"/>
    <customShpInfo spid="_x0000_s1028"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zle</Company>
  <Pages>21</Pages>
  <Words>1792</Words>
  <Characters>10220</Characters>
  <Lines>85</Lines>
  <Paragraphs>23</Paragraphs>
  <TotalTime>0</TotalTime>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2019-12-20T07:02:00Z</dcterms:created>
  <dc:creator>CNIS</dc:creator>
  <cp:lastModifiedBy>moc</cp:lastModifiedBy>
  <cp:lastPrinted>2019-12-24T07:11:00Z</cp:lastPrinted>
  <dcterms:modified xsi:type="dcterms:W3CDTF">2020-02-17T04:04:03Z</dcterms:modified>
  <dc:title>标准名称</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